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Hochman Russell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0"/>
        <w:spacing w:after="0" w:line="336" w:lineRule="auto"/>
        <w:rPr>
          <w:sz w:val="20"/>
          <w:szCs w:val="20"/>
          <w:color w:val="auto"/>
        </w:rPr>
      </w:pPr>
      <w:r>
        <w:rPr>
          <w:rFonts w:ascii="Times New Roman" w:cs="Times New Roman" w:eastAsia="Times New Roman" w:hAnsi="Times New Roman"/>
          <w:sz w:val="17"/>
          <w:szCs w:val="17"/>
          <w:color w:val="0000FF"/>
        </w:rPr>
        <w:t>TWO LOGAN SQUARE 100-120 N. 18TH STREET,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Enviri II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NVRI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19103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51,519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144,510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purchased in multiple transactions at prices ranging from $18.82 to $19.48, inclusive. The reporting person undertakes to provide to Enviri Corporation, any security holder of Enviri Corporation, or the staff of the Securities and Exchange Commission, upon request, full information regarding the number of shares purchased at each separate price within the range set forth in footnote (1)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92,991 shares acquired in a pro rata distribution by CLEH, Inc. on June 1, 2026 of all of the outstanding shares of the Issuer's common stock to the stockholders of CLEH, Inc.</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Russell C. Hochman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06/04/2026</w:t>
            </w:r>
          </w:p>
        </w:tc>
      </w:tr>
      <w:tr>
        <w:trPr>
          <w:trHeight w:val="20"/>
        </w:trPr>
        <w:tc>
          <w:tcPr>
            <w:tcW w:w="1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6757" TargetMode="External"/><Relationship Id="rId14" Type="http://schemas.openxmlformats.org/officeDocument/2006/relationships/hyperlink" Target="http://www.sec.gov/cgi-bin/browse-edgar?action=getcompany&amp;CIK=00021040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2026-06-04T08:29:16Z</dcterms:created>
  <dcterms:modified xsi:type="dcterms:W3CDTF">2026-06-04T08:29:16Z</dcterms:modified>
</cp:coreProperties>
</file>