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Enviri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$1.25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 E. Shaw &amp; Co., L.P.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Legal &amp; Compliance, Two Manhattan West, 375 Ninth Ave., 52nd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212-478-0000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 E. Shaw &amp; Co.,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 E. Shaw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E. Shaw</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$1.25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Enviri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Two Logan Square, 100-120 North 18th Street, 17th Floor, Philadelphia, PENNSYLVANIA , 19103.</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Introductory Note: This Amendment No. 1 to Schedule 13D ("Amendment No. 1") is filed by and on behalf of each</w:t>
      </w:r>
    </w:p>
    <w:p>
      <w:pPr>
        <w:spacing w:after="0" w:line="6" w:lineRule="exact"/>
        <w:rPr>
          <w:sz w:val="20"/>
          <w:szCs w:val="20"/>
          <w:color w:val="auto"/>
        </w:rPr>
      </w:pPr>
    </w:p>
    <w:p>
      <w:pPr>
        <w:jc w:val="both"/>
        <w:ind w:left="960" w:hanging="951"/>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of the Reporting Persons to amend and supplement the Schedule 13D related to the common stock, par value $1.25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per share (the "Shares"), of Enviri Corporation (the "Issuer") previously filed by the Reporting Persons with the Securities and Exchange Commission (the "SEC") on December 1, 2025 (the "Initial Schedule 13D"). Each capitalized term used and not defined herein shall have the meaning assigned to such term in the Initial Schedule 13D. Except as provided herein, each Item of the Initial Schedule 13D remains unchanged.</w:t>
      </w:r>
    </w:p>
    <w:p>
      <w:pPr>
        <w:spacing w:after="0" w:line="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6" w:lineRule="auto"/>
        <w:rPr>
          <w:sz w:val="20"/>
          <w:szCs w:val="20"/>
          <w:color w:val="auto"/>
        </w:rPr>
      </w:pPr>
      <w:r>
        <w:rPr>
          <w:rFonts w:ascii="Times New Roman" w:cs="Times New Roman" w:eastAsia="Times New Roman" w:hAnsi="Times New Roman"/>
          <w:sz w:val="22"/>
          <w:szCs w:val="22"/>
          <w:color w:val="auto"/>
        </w:rPr>
        <w:t>Item 4 of the Initial Schedule 13D is hereby amended and supplemented as follows: On June 1, 2026, Enviri LLC (CIK: 0000045876), as successor by merger to the Issuer, filed a Form 8-K with the SEC disclosing, among other things, the consummation of the separation and sale to the Buyer of the Issuer's "Clean Energy" business through a series of transactions (collectively, the "Transactions"). Upon consummation of the Transactions, for every three Shares held and exchanged by the Reporting Persons, the Reporting Persons received one share of common stock, par value $0.00001 per share, of Enviri II Corporation, a Delaware corporation (CIK: 0002104052).</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5(a) of the Initial Schedule 13D is hereby amended and supplemented as follows: The information set forth in</w:t>
      </w:r>
    </w:p>
    <w:p>
      <w:pPr>
        <w:spacing w:after="0" w:line="14" w:lineRule="exact"/>
        <w:rPr>
          <w:sz w:val="20"/>
          <w:szCs w:val="20"/>
          <w:color w:val="auto"/>
        </w:rPr>
      </w:pPr>
    </w:p>
    <w:p>
      <w:pPr>
        <w:ind w:left="920" w:right="32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4 of Amendment No. 1 is incorporated herein by reference. Following the consummation of the Transactions, none of the Reporting Persons beneficially owns any Shares.</w:t>
      </w:r>
    </w:p>
    <w:p>
      <w:pPr>
        <w:spacing w:after="0" w:line="16" w:lineRule="exact"/>
        <w:rPr>
          <w:rFonts w:ascii="Times New Roman" w:cs="Times New Roman" w:eastAsia="Times New Roman" w:hAnsi="Times New Roman"/>
          <w:sz w:val="22"/>
          <w:szCs w:val="22"/>
          <w:color w:val="auto"/>
        </w:rPr>
      </w:pPr>
    </w:p>
    <w:p>
      <w:pPr>
        <w:ind w:left="920" w:right="16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5(b) of the Initial Schedule 13D is hereby amended and supplemented as follows: See Item 5(a) of Amendment No. 1 to the Initial Schedule 13D.</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Item 5(c) of the Initial Schedule 13D is hereby amended and supplemented as follows: Schedule I to Amendment No.</w:t>
      </w:r>
    </w:p>
    <w:p>
      <w:pPr>
        <w:spacing w:after="0" w:line="25" w:lineRule="exact"/>
        <w:rPr>
          <w:rFonts w:ascii="Times New Roman" w:cs="Times New Roman" w:eastAsia="Times New Roman" w:hAnsi="Times New Roman"/>
          <w:sz w:val="39"/>
          <w:szCs w:val="39"/>
          <w:color w:val="auto"/>
          <w:vertAlign w:val="subscript"/>
        </w:rPr>
      </w:pPr>
    </w:p>
    <w:p>
      <w:pPr>
        <w:ind w:left="920" w:right="6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which is incorporated by reference into this Item 5(c) as if restated in full herein, describes all of the transactions in Shares by the Reporting Persons and/or any affiliates of the Reporting Persons during the past sixty (60) days.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5(d) of the Initial Schedule 13D is hereby amended and supplemented as follows: The information set forth in</w:t>
      </w:r>
    </w:p>
    <w:p>
      <w:pPr>
        <w:spacing w:after="0" w:line="14" w:lineRule="exact"/>
        <w:rPr>
          <w:rFonts w:ascii="Times New Roman" w:cs="Times New Roman" w:eastAsia="Times New Roman" w:hAnsi="Times New Roman"/>
          <w:sz w:val="22"/>
          <w:szCs w:val="22"/>
          <w:color w:val="auto"/>
        </w:rPr>
      </w:pPr>
    </w:p>
    <w:p>
      <w:pPr>
        <w:ind w:left="920" w:right="32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4 of Amendment No. 1 is incorporated herein by reference. Following the consummation of the Transactions, none of the Reporting Persons beneficially owns any Shares.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5(e) of the Initial Schedule 13D is hereby amended and restated in its entirety as follows: The information set</w:t>
      </w:r>
    </w:p>
    <w:p>
      <w:pPr>
        <w:spacing w:after="0" w:line="14" w:lineRule="exact"/>
        <w:rPr>
          <w:rFonts w:ascii="Times New Roman" w:cs="Times New Roman" w:eastAsia="Times New Roman" w:hAnsi="Times New Roman"/>
          <w:sz w:val="22"/>
          <w:szCs w:val="22"/>
          <w:color w:val="auto"/>
        </w:rPr>
      </w:pPr>
    </w:p>
    <w:p>
      <w:pPr>
        <w:ind w:left="920" w:right="6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forth in Item 4 of Amendment No. 1 is incorporated herein by reference. On June 1, 2026, following the consummation of the Transactions, the Reporting Persons ceased to be the beneficial owners of more than five percent of the outstanding Shares.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80"/>
        <w:spacing w:after="0" w:line="244" w:lineRule="auto"/>
        <w:rPr>
          <w:sz w:val="20"/>
          <w:szCs w:val="20"/>
          <w:color w:val="auto"/>
        </w:rPr>
      </w:pPr>
      <w:r>
        <w:rPr>
          <w:rFonts w:ascii="Times New Roman" w:cs="Times New Roman" w:eastAsia="Times New Roman" w:hAnsi="Times New Roman"/>
          <w:sz w:val="22"/>
          <w:szCs w:val="22"/>
          <w:color w:val="auto"/>
        </w:rPr>
        <w:t>Item 6 of the Initial Schedule 13D is hereby amended and supplemented as follows: As of the date of this Amendment No. 1, none of the Reporting Persons has any contract, arrangement, understanding or relationship with any person with respect to any securities of the Issuer.</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both"/>
        <w:ind w:left="920" w:right="100"/>
        <w:spacing w:after="0" w:line="261" w:lineRule="auto"/>
        <w:rPr>
          <w:sz w:val="20"/>
          <w:szCs w:val="20"/>
          <w:color w:val="auto"/>
        </w:rPr>
      </w:pPr>
      <w:r>
        <w:rPr>
          <w:rFonts w:ascii="Times New Roman" w:cs="Times New Roman" w:eastAsia="Times New Roman" w:hAnsi="Times New Roman"/>
          <w:sz w:val="21"/>
          <w:szCs w:val="21"/>
          <w:color w:val="auto"/>
        </w:rPr>
        <w:t>Item 7 of the Initial Schedule 13D is hereby amended and restated in its entirety as follows: Exhibit 99.1 - Schedule I (Transactions in the Securities of the Issuer During the Past Sixty Days) Exhibit 99.2 - Power of Attorney, granted by David E. Shaw relating to D. E. Shaw &amp; Co., Inc., in favor of the signatories hereto, among others, dated August 1,</w:t>
      </w:r>
    </w:p>
    <w:p>
      <w:pPr>
        <w:sectPr>
          <w:pgSz w:w="11900" w:h="16838" w:orient="portrait"/>
          <w:cols w:equalWidth="0" w:num="1">
            <w:col w:w="11160"/>
          </w:cols>
          <w:pgMar w:left="360" w:top="112" w:right="379" w:bottom="0" w:gutter="0" w:footer="0" w:header="0"/>
        </w:sectPr>
      </w:pPr>
    </w:p>
    <w:bookmarkStart w:id="4" w:name="page5"/>
    <w:bookmarkEnd w:id="4"/>
    <w:p>
      <w:pPr>
        <w:ind w:left="700" w:right="120"/>
        <w:spacing w:after="0" w:line="244" w:lineRule="auto"/>
        <w:rPr>
          <w:sz w:val="20"/>
          <w:szCs w:val="20"/>
          <w:color w:val="auto"/>
        </w:rPr>
      </w:pPr>
      <w:r>
        <w:rPr>
          <w:rFonts w:ascii="Times New Roman" w:cs="Times New Roman" w:eastAsia="Times New Roman" w:hAnsi="Times New Roman"/>
          <w:sz w:val="22"/>
          <w:szCs w:val="22"/>
          <w:color w:val="auto"/>
        </w:rPr>
        <w:t>2024. Exhibit 99.3 - Power of Attorney, granted by David E. Shaw relating to D. E. Shaw &amp; Co. II, Inc., in favor of the signatories hereto, among others, dated August 1, 2024. Exhibit 99.4 - Joint Filing Agreement, by and among the Reporting Persons, dated June 3,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D. E. Shaw &amp; Co., L.P.</w:t>
      </w:r>
    </w:p>
    <w:p>
      <w:pPr>
        <w:spacing w:after="0" w:line="152" w:lineRule="exact"/>
        <w:rPr>
          <w:sz w:val="20"/>
          <w:szCs w:val="20"/>
          <w:color w:val="auto"/>
        </w:rPr>
      </w:pPr>
    </w:p>
    <w:p>
      <w:pPr>
        <w:ind w:left="5020"/>
        <w:spacing w:after="0"/>
        <w:tabs>
          <w:tab w:leader="none" w:pos="6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Daniel R. Marcus / Chief Compliance Officer</w:t>
      </w:r>
    </w:p>
    <w:p>
      <w:pPr>
        <w:spacing w:after="0" w:line="44" w:lineRule="exact"/>
        <w:rPr>
          <w:sz w:val="20"/>
          <w:szCs w:val="20"/>
          <w:color w:val="auto"/>
        </w:rPr>
      </w:pPr>
    </w:p>
    <w:p>
      <w:pPr>
        <w:ind w:left="5020"/>
        <w:spacing w:after="0"/>
        <w:tabs>
          <w:tab w:leader="none" w:pos="6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D. E. Shaw &amp; Co., L.L.C.</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Daniel R. Marcus / Authorized Signatory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E. Shaw</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R. Marcus</w:t>
      </w:r>
    </w:p>
    <w:p>
      <w:pPr>
        <w:spacing w:after="0" w:line="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35"/>
          <w:szCs w:val="35"/>
          <w:color w:val="auto"/>
          <w:vertAlign w:val="subscript"/>
        </w:rPr>
        <w:t>Name/Title:</w:t>
      </w:r>
      <w:r>
        <w:rPr>
          <w:rFonts w:ascii="Times New Roman" w:cs="Times New Roman" w:eastAsia="Times New Roman" w:hAnsi="Times New Roman"/>
          <w:sz w:val="19"/>
          <w:szCs w:val="19"/>
          <w:color w:val="auto"/>
        </w:rPr>
        <w:t xml:space="preserve"> Daniel</w:t>
      </w:r>
      <w:r>
        <w:rPr>
          <w:rFonts w:ascii="Times New Roman" w:cs="Times New Roman" w:eastAsia="Times New Roman" w:hAnsi="Times New Roman"/>
          <w:sz w:val="35"/>
          <w:szCs w:val="35"/>
          <w:color w:val="auto"/>
          <w:vertAlign w:val="subscript"/>
        </w:rPr>
        <w:t>Shaw</w:t>
      </w:r>
      <w:r>
        <w:rPr>
          <w:rFonts w:ascii="Times New Roman" w:cs="Times New Roman" w:eastAsia="Times New Roman" w:hAnsi="Times New Roman"/>
          <w:sz w:val="19"/>
          <w:szCs w:val="19"/>
          <w:color w:val="auto"/>
        </w:rPr>
        <w:t xml:space="preserve"> R. Marcus / Attorney-in-Fact for David E.</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ectPr>
          <w:pgSz w:w="11900" w:h="16838" w:orient="portrait"/>
          <w:cols w:equalWidth="0" w:num="1">
            <w:col w:w="10920"/>
          </w:cols>
          <w:pgMar w:left="580" w:top="112"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Securities of the Issuer During the Past Sixty Days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4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25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25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Price per Share</w:t>
            </w:r>
            <w:r>
              <w:rPr>
                <w:rFonts w:ascii="Times New Roman" w:cs="Times New Roman" w:eastAsia="Times New Roman" w:hAnsi="Times New Roman"/>
                <w:sz w:val="29"/>
                <w:szCs w:val="29"/>
                <w:color w:val="auto"/>
                <w:w w:val="98"/>
                <w:vertAlign w:val="superscript"/>
              </w:rPr>
              <w:t>1</w:t>
            </w:r>
          </w:p>
        </w:tc>
        <w:tc>
          <w:tcPr>
            <w:tcW w:w="32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0" w:type="dxa"/>
            <w:vAlign w:val="bottom"/>
          </w:tcPr>
          <w:p>
            <w:pPr>
              <w:spacing w:after="0"/>
              <w:rPr>
                <w:sz w:val="1"/>
                <w:szCs w:val="1"/>
                <w:color w:val="auto"/>
              </w:rPr>
            </w:pPr>
          </w:p>
        </w:tc>
      </w:tr>
      <w:tr>
        <w:trPr>
          <w:trHeight w:val="234"/>
        </w:trPr>
        <w:tc>
          <w:tcPr>
            <w:tcW w:w="2840" w:type="dxa"/>
            <w:vAlign w:val="bottom"/>
            <w:tcBorders>
              <w:left w:val="single" w:sz="8" w:color="auto"/>
              <w:bottom w:val="single" w:sz="8" w:color="D9D9D9"/>
              <w:right w:val="single" w:sz="8" w:color="auto"/>
            </w:tcBorders>
            <w:vMerge w:val="continue"/>
            <w:shd w:val="clear" w:color="auto" w:fill="D9D9D9"/>
          </w:tcPr>
          <w:p>
            <w:pPr>
              <w:spacing w:after="0"/>
              <w:rPr>
                <w:sz w:val="20"/>
                <w:szCs w:val="20"/>
                <w:color w:val="auto"/>
              </w:rPr>
            </w:pPr>
          </w:p>
        </w:tc>
        <w:tc>
          <w:tcPr>
            <w:tcW w:w="2580" w:type="dxa"/>
            <w:vAlign w:val="bottom"/>
            <w:tcBorders>
              <w:bottom w:val="single" w:sz="8" w:color="D9D9D9"/>
              <w:right w:val="single" w:sz="8" w:color="auto"/>
            </w:tcBorders>
            <w:vMerge w:val="continue"/>
            <w:shd w:val="clear" w:color="auto" w:fill="D9D9D9"/>
          </w:tcPr>
          <w:p>
            <w:pPr>
              <w:spacing w:after="0"/>
              <w:rPr>
                <w:sz w:val="20"/>
                <w:szCs w:val="20"/>
                <w:color w:val="auto"/>
              </w:rPr>
            </w:pPr>
          </w:p>
        </w:tc>
        <w:tc>
          <w:tcPr>
            <w:tcW w:w="2580" w:type="dxa"/>
            <w:vAlign w:val="bottom"/>
            <w:tcBorders>
              <w:bottom w:val="single" w:sz="8" w:color="D9D9D9"/>
              <w:right w:val="single" w:sz="8" w:color="auto"/>
            </w:tcBorders>
            <w:vMerge w:val="continue"/>
            <w:shd w:val="clear" w:color="auto" w:fill="D9D9D9"/>
          </w:tcPr>
          <w:p>
            <w:pPr>
              <w:spacing w:after="0"/>
              <w:rPr>
                <w:sz w:val="20"/>
                <w:szCs w:val="20"/>
                <w:color w:val="auto"/>
              </w:rPr>
            </w:pPr>
          </w:p>
        </w:tc>
        <w:tc>
          <w:tcPr>
            <w:tcW w:w="32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Purchased/(Sold)</w:t>
            </w:r>
          </w:p>
        </w:tc>
        <w:tc>
          <w:tcPr>
            <w:tcW w:w="0" w:type="dxa"/>
            <w:vAlign w:val="bottom"/>
          </w:tcPr>
          <w:p>
            <w:pPr>
              <w:spacing w:after="0"/>
              <w:rPr>
                <w:sz w:val="1"/>
                <w:szCs w:val="1"/>
                <w:color w:val="auto"/>
              </w:rPr>
            </w:pPr>
          </w:p>
        </w:tc>
      </w:tr>
      <w:tr>
        <w:trPr>
          <w:trHeight w:val="250"/>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Galvanic</w:t>
            </w:r>
          </w:p>
        </w:tc>
        <w:tc>
          <w:tcPr>
            <w:tcW w:w="2580" w:type="dxa"/>
            <w:vAlign w:val="bottom"/>
            <w:tcBorders>
              <w:top w:val="single" w:sz="8" w:color="auto"/>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5/12/2026</w:t>
            </w:r>
          </w:p>
        </w:tc>
        <w:tc>
          <w:tcPr>
            <w:tcW w:w="2580" w:type="dxa"/>
            <w:vAlign w:val="bottom"/>
            <w:tcBorders>
              <w:top w:val="single" w:sz="8" w:color="auto"/>
              <w:bottom w:val="single" w:sz="8" w:color="auto"/>
              <w:right w:val="single" w:sz="8" w:color="auto"/>
            </w:tcBorders>
          </w:tcPr>
          <w:p>
            <w:pPr>
              <w:jc w:val="center"/>
              <w:ind w:right="911"/>
              <w:spacing w:after="0" w:line="250" w:lineRule="exact"/>
              <w:rPr>
                <w:sz w:val="20"/>
                <w:szCs w:val="20"/>
                <w:color w:val="auto"/>
              </w:rPr>
            </w:pPr>
            <w:r>
              <w:rPr>
                <w:rFonts w:ascii="Times New Roman" w:cs="Times New Roman" w:eastAsia="Times New Roman" w:hAnsi="Times New Roman"/>
                <w:sz w:val="17"/>
                <w:szCs w:val="17"/>
                <w:color w:val="auto"/>
              </w:rPr>
              <w:t>$18.97</w:t>
            </w:r>
            <w:r>
              <w:rPr>
                <w:rFonts w:ascii="Times New Roman" w:cs="Times New Roman" w:eastAsia="Times New Roman" w:hAnsi="Times New Roman"/>
                <w:sz w:val="28"/>
                <w:szCs w:val="28"/>
                <w:color w:val="auto"/>
                <w:vertAlign w:val="superscript"/>
              </w:rPr>
              <w:t>2</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3" w:lineRule="exact"/>
        <w:rPr>
          <w:sz w:val="20"/>
          <w:szCs w:val="20"/>
          <w:color w:val="auto"/>
        </w:rPr>
      </w:pPr>
    </w:p>
    <w:p>
      <w:pPr>
        <w:ind w:right="40" w:firstLine="8"/>
        <w:spacing w:after="0" w:line="224"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Price per Share does not include any brokerage commissions or service charges. Where weighted average price is used for the reported transactions, the Reporting Persons undertake to provide upon request by the SEC, full information regarding the number of Shares purchased or sold at each separate price.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 weighted average price based on prices ranging from $18.93 to $19.00.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CERTAIN REGULATORY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INCLUDING CERTAIN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THE INVESTMENT ADVISERS ACT OF 1940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 Deaton,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Anne Dinning,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Edward Fishman,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Alexis Halaby,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Edwin Jager,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Martin Lebwohl,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Daniel Marcus,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Anoop Prasad,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Maximilian Stone,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Sweet,</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w:t>
      </w:r>
    </w:p>
    <w:p>
      <w:pPr>
        <w:spacing w:after="0" w:line="3" w:lineRule="exact"/>
        <w:rPr>
          <w:sz w:val="20"/>
          <w:szCs w:val="20"/>
          <w:color w:val="auto"/>
        </w:rPr>
      </w:pPr>
    </w:p>
    <w:p>
      <w:pPr>
        <w:jc w:val="both"/>
        <w:ind w:right="180" w:firstLine="8"/>
        <w:spacing w:after="0" w:line="255"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spacing w:after="0" w:line="186"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 Shaw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Shaw,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President of D. E. Shaw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CERTAIN REGULATORY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INCLUDING CERTAIN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THE INVESTMENT ADVISERS ACT OF 1940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Shaw, hereby make, constitute, and appoint each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Adam Deaton,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Anne Dinning,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Edward Fishman,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Alexis Halaby,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Edwin Jager,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Martin Lebwohl,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Daniel Marcus,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Anoop Prasad,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Maximilian Stone,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Sweet,</w:t>
      </w:r>
    </w:p>
    <w:p>
      <w:pPr>
        <w:spacing w:after="0" w:line="20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w:t>
      </w:r>
    </w:p>
    <w:p>
      <w:pPr>
        <w:spacing w:after="0" w:line="2" w:lineRule="exact"/>
        <w:rPr>
          <w:sz w:val="20"/>
          <w:szCs w:val="20"/>
          <w:color w:val="auto"/>
        </w:rPr>
      </w:pPr>
    </w:p>
    <w:p>
      <w:pPr>
        <w:jc w:val="both"/>
        <w:ind w:right="180" w:firstLine="8"/>
        <w:spacing w:after="0" w:line="255"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spacing w:after="0" w:line="186"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I have executed this instrument as of the date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E. Shaw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 Shaw,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President of D. E. Shaw &amp; Co. II,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each of the undersigned Reporting Persons hereby agrees to the joint filing, along with all other such Reporting Persons, on behalf of each of them of a statement on Schedule 13D (including amendments thereto) with respect to the common stock, par value $1.25 per share, of Enviri Corporation, and that this Agreement be included as an Exhibit to such joint filing. This Agreement may be executed in any number of counterparts, all of which taken together shall constitute one and the same instrument.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undersigned hereby executes this Agreement as of this 3rd day of June, 2026.</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 E. Shaw &amp; Co.,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 E. Shaw &amp; Co.,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E. Shaw</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R. Marcus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Daniel R. Marcus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Attorney-in-Fact for David E.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2026-06-03T16:08:35Z</dcterms:created>
  <dcterms:modified xsi:type="dcterms:W3CDTF">2026-06-03T16:08:35Z</dcterms:modified>
</cp:coreProperties>
</file>