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1920" cy="1219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34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-654685</wp:posOffset>
            </wp:positionV>
            <wp:extent cx="121920" cy="1219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-621030</wp:posOffset>
            </wp:positionV>
            <wp:extent cx="5778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3966845</wp:posOffset>
            </wp:positionH>
            <wp:positionV relativeFrom="paragraph">
              <wp:posOffset>-621030</wp:posOffset>
            </wp:positionV>
            <wp:extent cx="57785" cy="6343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737235</wp:posOffset>
            </wp:positionV>
            <wp:extent cx="6994525" cy="48260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4525" cy="482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00"/>
            <w:col w:w="848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Minan Peter Francis</w:t>
        </w:r>
      </w:hyperlink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 w:right="180"/>
        <w:spacing w:after="0" w:line="30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TWO LOGAN SQUARE 100-120 N. 18TH STREET,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Enviri Corp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NVRI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660" w:firstLine="9"/>
        <w:spacing w:after="0" w:line="255" w:lineRule="auto"/>
        <w:tabs>
          <w:tab w:leader="none" w:pos="13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31"/>
        <w:spacing w:after="0"/>
        <w:tabs>
          <w:tab w:leader="none" w:pos="207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31"/>
        <w:spacing w:after="0"/>
        <w:tabs>
          <w:tab w:leader="none" w:pos="207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9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Vice President &amp; CFO</w:t>
      </w:r>
    </w:p>
    <w:p>
      <w:pPr>
        <w:spacing w:after="0" w:line="43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9" w:space="720"/>
            <w:col w:w="3351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ind w:left="14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PHILADELPHIA PA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1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78,125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 w:line="3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8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8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94,559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60" w:type="dxa"/>
            <w:vAlign w:val="bottom"/>
            <w:gridSpan w:val="1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76,924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06/15/2026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76,924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9"/>
              </w:rPr>
              <w:t>76,924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-1993900</wp:posOffset>
            </wp:positionV>
            <wp:extent cx="29210" cy="19989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98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 w:right="260" w:firstLine="1"/>
        <w:spacing w:after="0" w:line="252" w:lineRule="auto"/>
        <w:tabs>
          <w:tab w:leader="none" w:pos="16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granted under the Issuer's 2026 Omnibus Incentive Plan represent a contingent right to receive the Issuer's common stock on a one-for-one basis when the restricted stock units vest. Each reported restricted stock unit vests in three equal increments on each subsequent anniversary of the grant date.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1"/>
        <w:spacing w:after="0" w:line="236" w:lineRule="auto"/>
        <w:tabs>
          <w:tab w:leader="none" w:pos="16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target number of Performance Restricted Stock Units granted under the Issuer's 2026 Omnibus Incentive Plan, each of which represents the contingent right to receive a variable amount of shares of the Issuer's common stock based on the level of achievement of share-price performance targets over the period of June 1, 2026, through June 30, 2029 (the "Performance Period"). The Performance Restricted Stock Units vest between 0% and 250% of target, measured as of the earlier of the final financial quarter of the Performance Period or during a measurement period ending no fewer than three days prior to a Change in Control of the Issuer.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Peter F. Minan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06/17/2026</w:t>
            </w: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60" w:firstLine="1"/>
        <w:spacing w:after="0" w:line="333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44647" TargetMode="External"/><Relationship Id="rId14" Type="http://schemas.openxmlformats.org/officeDocument/2006/relationships/hyperlink" Target="http://www.sec.gov/cgi-bin/browse-edgar?action=getcompany&amp;CIK=00021040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2026-06-17T15:45:02Z</dcterms:created>
  <dcterms:modified xsi:type="dcterms:W3CDTF">2026-06-17T15:45:02Z</dcterms:modified>
</cp:coreProperties>
</file>