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Reitemeier Christophe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160"/>
        <w:spacing w:after="0" w:line="309" w:lineRule="auto"/>
        <w:rPr>
          <w:sz w:val="20"/>
          <w:szCs w:val="20"/>
          <w:color w:val="auto"/>
        </w:rPr>
      </w:pPr>
      <w:r>
        <w:rPr>
          <w:rFonts w:ascii="Times New Roman" w:cs="Times New Roman" w:eastAsia="Times New Roman" w:hAnsi="Times New Roman"/>
          <w:sz w:val="17"/>
          <w:szCs w:val="17"/>
          <w:color w:val="0000FF"/>
        </w:rPr>
        <w:t>TWO LOGAN SQUARE 100-120 N. 18TH STREET,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ENVIRI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NVRI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President-Harsco Environmental</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6"/>
          </w:tcPr>
          <w:p>
            <w:pPr>
              <w:jc w:val="center"/>
              <w:ind w:right="37"/>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19103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2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05/20/2026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19,993</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75,889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05/20/2026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9,398</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19.53</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66,491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19,993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05/20/2026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19,993</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under the 2013 Equity and Incentive Compensation Plan represent a contingent right to receive Enviri common stock on a one-for-one basis when the restricted stock units vest. The restricted stock units have been vested and settled, as approved on May 18, 2026 by the Enviri Board of Directors in connection with Enviri's sale of its Clean Earth division.</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Christophe Reitemeier</w:t>
            </w:r>
          </w:p>
        </w:tc>
        <w:tc>
          <w:tcPr>
            <w:tcW w:w="4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05/22/2026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0057" TargetMode="External"/><Relationship Id="rId14" Type="http://schemas.openxmlformats.org/officeDocument/2006/relationships/hyperlink" Target="http://www.sec.gov/cgi-bin/browse-edgar?action=getcompany&amp;CIK=0000045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2026-05-22T15:00:36Z</dcterms:created>
  <dcterms:modified xsi:type="dcterms:W3CDTF">2026-05-22T15:00:36Z</dcterms:modified>
</cp:coreProperties>
</file>