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4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25" w:lineRule="exact"/>
        <w:rPr>
          <w:sz w:val="24"/>
          <w:szCs w:val="24"/>
          <w:color w:val="auto"/>
        </w:rPr>
      </w:pPr>
    </w:p>
    <w:p>
      <w:pPr>
        <w:jc w:val="center"/>
        <w:ind w:left="1680" w:right="92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001-03970</w:t>
      </w:r>
    </w:p>
    <w:p>
      <w:pPr>
        <w:spacing w:after="0" w:line="272"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Enviri LLC</w:t>
      </w:r>
    </w:p>
    <w:p>
      <w:pPr>
        <w:spacing w:after="0" w:line="3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(as successor by merger to Enviri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Two Logan Square</w:t>
      </w:r>
    </w:p>
    <w:p>
      <w:pPr>
        <w:jc w:val="center"/>
        <w:ind w:right="-819"/>
        <w:spacing w:after="0" w:line="225" w:lineRule="auto"/>
        <w:rPr>
          <w:sz w:val="20"/>
          <w:szCs w:val="20"/>
          <w:color w:val="auto"/>
        </w:rPr>
      </w:pPr>
      <w:r>
        <w:rPr>
          <w:rFonts w:ascii="Times New Roman" w:cs="Times New Roman" w:eastAsia="Times New Roman" w:hAnsi="Times New Roman"/>
          <w:sz w:val="18"/>
          <w:szCs w:val="18"/>
          <w:b w:val="1"/>
          <w:bCs w:val="1"/>
          <w:color w:val="auto"/>
        </w:rPr>
        <w:t>100-120 North 18</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Street, 17</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(267) 857-8715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2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43"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Common Stock, par value $1.25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35"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(Titles of all other classes of securities for which</w:t>
      </w:r>
    </w:p>
    <w:p>
      <w:pPr>
        <w:spacing w:after="0" w:line="2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a duty to file reports under section 13(a) or 15(d) remains)</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440"/>
          </w:cols>
          <w:pgMar w:left="320" w:top="1440" w:right="1139" w:bottom="1440" w:gutter="0" w:footer="0" w:header="0"/>
        </w:sectPr>
      </w:pPr>
    </w:p>
    <w:p>
      <w:pPr>
        <w:spacing w:after="0" w:line="26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Rule 12g-4(a)(2)</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Rule 12h-3(b)(1)(i)</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Rule 12h-3(b)(1)(ii)</w:t>
      </w:r>
    </w:p>
    <w:p>
      <w:pPr>
        <w:spacing w:after="0" w:line="3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Rule 15d-6</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8" w:lineRule="exact"/>
        <w:rPr>
          <w:sz w:val="24"/>
          <w:szCs w:val="24"/>
          <w:color w:val="auto"/>
        </w:rPr>
      </w:pPr>
    </w:p>
    <w:p>
      <w:pPr>
        <w:sectPr>
          <w:pgSz w:w="11900" w:h="16838" w:orient="portrait"/>
          <w:cols w:equalWidth="0" w:num="2">
            <w:col w:w="9560" w:space="720"/>
            <w:col w:w="160"/>
          </w:cols>
          <w:pgMar w:left="320" w:top="1440" w:right="1139" w:bottom="1440" w:gutter="0" w:footer="0" w:header="0"/>
          <w:type w:val="continuous"/>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ectPr>
          <w:pgSz w:w="11900" w:h="16838" w:orient="portrait"/>
          <w:cols w:equalWidth="0" w:num="1">
            <w:col w:w="10440"/>
          </w:cols>
          <w:pgMar w:left="320" w:top="1440" w:right="11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Enviri LLC (as successor by merger to Enviri Corporation) has caused this certification/notice to be signed on its behalf by the undersigned duly authorized person.</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84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Enviri LLC (as successor by merger to Enviri Corporation)</w:t>
            </w:r>
          </w:p>
        </w:tc>
      </w:tr>
      <w:tr>
        <w:trPr>
          <w:trHeight w:val="44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2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C. Fenice</w:t>
            </w:r>
          </w:p>
        </w:tc>
      </w:tr>
      <w:tr>
        <w:trPr>
          <w:trHeight w:val="218"/>
        </w:trPr>
        <w:tc>
          <w:tcPr>
            <w:tcW w:w="2700" w:type="dxa"/>
            <w:vAlign w:val="bottom"/>
          </w:tcPr>
          <w:p>
            <w:pPr>
              <w:spacing w:after="0"/>
              <w:rPr>
                <w:sz w:val="18"/>
                <w:szCs w:val="18"/>
                <w:color w:val="auto"/>
              </w:rPr>
            </w:pPr>
          </w:p>
        </w:tc>
        <w:tc>
          <w:tcPr>
            <w:tcW w:w="2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C. Fenice</w:t>
            </w:r>
          </w:p>
        </w:tc>
      </w:tr>
      <w:tr>
        <w:trPr>
          <w:trHeight w:val="234"/>
        </w:trPr>
        <w:tc>
          <w:tcPr>
            <w:tcW w:w="2700" w:type="dxa"/>
            <w:vAlign w:val="bottom"/>
          </w:tcPr>
          <w:p>
            <w:pPr>
              <w:spacing w:after="0"/>
              <w:rPr>
                <w:sz w:val="20"/>
                <w:szCs w:val="20"/>
                <w:color w:val="auto"/>
              </w:rPr>
            </w:pPr>
          </w:p>
        </w:tc>
        <w:tc>
          <w:tcPr>
            <w:tcW w:w="2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1" w:lineRule="exact"/>
        <w:rPr>
          <w:sz w:val="20"/>
          <w:szCs w:val="20"/>
          <w:color w:val="auto"/>
        </w:rPr>
      </w:pP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2026-06-12T13:58:58Z</dcterms:created>
  <dcterms:modified xsi:type="dcterms:W3CDTF">2026-06-12T13:58:58Z</dcterms:modified>
</cp:coreProperties>
</file>