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left="4560"/>
        <w:spacing w:after="0"/>
        <w:tabs>
          <w:tab w:leader="none" w:pos="420" w:val="left"/>
        </w:tabs>
        <w:rPr>
          <w:sz w:val="20"/>
          <w:szCs w:val="20"/>
          <w:color w:val="auto"/>
        </w:rPr>
      </w:pPr>
      <w:r>
        <w:rPr>
          <w:rFonts w:ascii="Times New Roman" w:cs="Times New Roman" w:eastAsia="Times New Roman" w:hAnsi="Times New Roman"/>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27940</wp:posOffset>
            </wp:positionV>
            <wp:extent cx="1637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-220345</wp:posOffset>
            </wp:positionV>
            <wp:extent cx="1637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123" w:lineRule="exact"/>
        <w:rPr>
          <w:sz w:val="24"/>
          <w:szCs w:val="24"/>
          <w:color w:val="auto"/>
        </w:rPr>
      </w:pPr>
    </w:p>
    <w:p>
      <w:pPr>
        <w:ind w:left="39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001-43207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74295</wp:posOffset>
            </wp:positionV>
            <wp:extent cx="192849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ENVIRI CORPORATION</w:t>
      </w:r>
    </w:p>
    <w:p>
      <w:pPr>
        <w:spacing w:after="0" w:line="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760" w:type="dxa"/>
        <w:tblCellMar>
          <w:top w:w="0" w:type="dxa"/>
          <w:left w:w="0" w:type="dxa"/>
          <w:bottom w:w="0" w:type="dxa"/>
          <w:right w:w="0" w:type="dxa"/>
        </w:tblCellMar>
      </w:tblPr>
      <w:tr>
        <w:trPr>
          <w:trHeight w:val="233"/>
        </w:trPr>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41-2897233</w:t>
            </w:r>
          </w:p>
        </w:tc>
        <w:tc>
          <w:tcPr>
            <w:tcW w:w="0" w:type="dxa"/>
            <w:vAlign w:val="bottom"/>
          </w:tcPr>
          <w:p>
            <w:pPr>
              <w:spacing w:after="0"/>
              <w:rPr>
                <w:sz w:val="1"/>
                <w:szCs w:val="1"/>
                <w:color w:val="auto"/>
              </w:rPr>
            </w:pPr>
          </w:p>
        </w:tc>
      </w:tr>
      <w:tr>
        <w:trPr>
          <w:trHeight w:val="189"/>
        </w:trPr>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0" w:type="dxa"/>
            <w:vAlign w:val="bottom"/>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(I.R.S. employer identification</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03"/>
        </w:trPr>
        <w:tc>
          <w:tcPr>
            <w:tcW w:w="524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Two Logan Square</w:t>
            </w:r>
          </w:p>
        </w:tc>
        <w:tc>
          <w:tcPr>
            <w:tcW w:w="24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19103</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100-120 North 18th Street, 17th Floor,   </w:t>
            </w:r>
            <w:r>
              <w:rPr>
                <w:rFonts w:ascii="Times New Roman" w:cs="Times New Roman" w:eastAsia="Times New Roman" w:hAnsi="Times New Roman"/>
                <w:sz w:val="17"/>
                <w:szCs w:val="17"/>
                <w:b w:val="1"/>
                <w:bCs w:val="1"/>
                <w:color w:val="auto"/>
              </w:rPr>
              <w:t>Philadelphia,  Pennsylvania</w:t>
            </w: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267-857-8715</w:t>
      </w:r>
    </w:p>
    <w:p>
      <w:pPr>
        <w:spacing w:after="0" w:line="10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Enviri II Corporation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53"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38"/>
        </w:trPr>
        <w:tc>
          <w:tcPr>
            <w:tcW w:w="4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NVRI</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71" w:lineRule="exact"/>
        <w:rPr>
          <w:sz w:val="24"/>
          <w:szCs w:val="24"/>
          <w:color w:val="auto"/>
        </w:rPr>
      </w:pPr>
    </w:p>
    <w:p>
      <w:pPr>
        <w:ind w:right="80" w:firstLine="324"/>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right="6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200" w:firstLine="324"/>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340" w:right="156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June 1, 2026</w:t>
            </w:r>
          </w:p>
        </w:tc>
        <w:tc>
          <w:tcPr>
            <w:tcW w:w="20" w:type="dxa"/>
            <w:vAlign w:val="bottom"/>
          </w:tcPr>
          <w:p>
            <w:pPr>
              <w:spacing w:after="0"/>
              <w:rPr>
                <w:sz w:val="20"/>
                <w:szCs w:val="20"/>
                <w:color w:val="auto"/>
              </w:rPr>
            </w:pPr>
          </w:p>
        </w:tc>
      </w:tr>
      <w:tr>
        <w:trPr>
          <w:trHeight w:val="228"/>
        </w:trPr>
        <w:tc>
          <w:tcPr>
            <w:tcW w:w="340" w:type="dxa"/>
            <w:vAlign w:val="bottom"/>
          </w:tcPr>
          <w:p>
            <w:pPr>
              <w:spacing w:after="0"/>
              <w:rPr>
                <w:sz w:val="19"/>
                <w:szCs w:val="19"/>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440" w:type="dxa"/>
            <w:vAlign w:val="bottom"/>
          </w:tcPr>
          <w:p>
            <w:pPr>
              <w:spacing w:after="0"/>
              <w:rPr>
                <w:sz w:val="19"/>
                <w:szCs w:val="19"/>
                <w:color w:val="auto"/>
              </w:rPr>
            </w:pPr>
          </w:p>
        </w:tc>
        <w:tc>
          <w:tcPr>
            <w:tcW w:w="5240" w:type="dxa"/>
            <w:vAlign w:val="bottom"/>
            <w:tcBorders>
              <w:top w:val="single" w:sz="8" w:color="auto"/>
            </w:tcBorders>
          </w:tcPr>
          <w:p>
            <w:pPr>
              <w:jc w:val="right"/>
              <w:ind w:right="2110"/>
              <w:spacing w:after="0"/>
              <w:rPr>
                <w:sz w:val="20"/>
                <w:szCs w:val="20"/>
                <w:color w:val="auto"/>
              </w:rPr>
            </w:pPr>
            <w:r>
              <w:rPr>
                <w:rFonts w:ascii="Times New Roman" w:cs="Times New Roman" w:eastAsia="Times New Roman" w:hAnsi="Times New Roman"/>
                <w:sz w:val="18"/>
                <w:szCs w:val="18"/>
                <w:color w:val="auto"/>
              </w:rPr>
              <w:t>28,103,750</w:t>
            </w:r>
          </w:p>
        </w:tc>
        <w:tc>
          <w:tcPr>
            <w:tcW w:w="20" w:type="dxa"/>
            <w:vAlign w:val="bottom"/>
            <w:tcBorders>
              <w:top w:val="single" w:sz="8" w:color="auto"/>
            </w:tcBorders>
          </w:tcPr>
          <w:p>
            <w:pPr>
              <w:spacing w:after="0"/>
              <w:rPr>
                <w:sz w:val="19"/>
                <w:szCs w:val="19"/>
                <w:color w:val="auto"/>
              </w:rPr>
            </w:pPr>
          </w:p>
        </w:tc>
      </w:tr>
      <w:tr>
        <w:trPr>
          <w:trHeight w:val="569"/>
        </w:trPr>
        <w:tc>
          <w:tcPr>
            <w:tcW w:w="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ENVIRI II CORPORATION</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000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72"/>
        </w:trPr>
        <w:tc>
          <w:tcPr>
            <w:tcW w:w="10000" w:type="dxa"/>
            <w:vAlign w:val="bottom"/>
            <w:gridSpan w:val="31"/>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060" w:type="dxa"/>
            <w:vAlign w:val="bottom"/>
            <w:gridSpan w:val="4"/>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Enviri</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440" w:type="dxa"/>
            <w:vAlign w:val="bottom"/>
            <w:gridSpan w:val="13"/>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3720" w:type="dxa"/>
            <w:vAlign w:val="bottom"/>
            <w:gridSpan w:val="10"/>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1360" w:type="dxa"/>
            <w:vAlign w:val="bottom"/>
            <w:gridSpan w:val="4"/>
          </w:tcPr>
          <w:p>
            <w:pPr>
              <w:spacing w:after="0"/>
              <w:rPr>
                <w:sz w:val="18"/>
                <w:szCs w:val="18"/>
                <w:color w:val="auto"/>
              </w:rPr>
            </w:pPr>
          </w:p>
        </w:tc>
        <w:tc>
          <w:tcPr>
            <w:tcW w:w="2300" w:type="dxa"/>
            <w:vAlign w:val="bottom"/>
            <w:gridSpan w:val="5"/>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Equity (Unaudited)</w:t>
            </w:r>
          </w:p>
        </w:tc>
        <w:tc>
          <w:tcPr>
            <w:tcW w:w="400" w:type="dxa"/>
            <w:vAlign w:val="bottom"/>
            <w:gridSpan w:val="3"/>
          </w:tcPr>
          <w:p>
            <w:pPr>
              <w:spacing w:after="0"/>
              <w:rPr>
                <w:sz w:val="18"/>
                <w:szCs w:val="18"/>
                <w:color w:val="auto"/>
              </w:rPr>
            </w:pPr>
          </w:p>
        </w:tc>
        <w:tc>
          <w:tcPr>
            <w:tcW w:w="3660" w:type="dxa"/>
            <w:vAlign w:val="bottom"/>
            <w:gridSpan w:val="9"/>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380" w:type="dxa"/>
            <w:vAlign w:val="bottom"/>
            <w:gridSpan w:val="7"/>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Condensed Combined Financial Statements: New Enviri, a business of Enviri Corporation</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Combined Balance Sheets (Unaudited)</w:t>
            </w:r>
          </w:p>
        </w:tc>
        <w:tc>
          <w:tcPr>
            <w:tcW w:w="3760" w:type="dxa"/>
            <w:vAlign w:val="bottom"/>
            <w:gridSpan w:val="12"/>
          </w:tcPr>
          <w:p>
            <w:pPr>
              <w:spacing w:after="0"/>
              <w:rPr>
                <w:sz w:val="18"/>
                <w:szCs w:val="18"/>
                <w:color w:val="auto"/>
              </w:rPr>
            </w:pPr>
          </w:p>
        </w:tc>
        <w:tc>
          <w:tcPr>
            <w:tcW w:w="880" w:type="dxa"/>
            <w:vAlign w:val="bottom"/>
            <w:gridSpan w:val="2"/>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Combined Statements of Operations (Unaudited)</w:t>
            </w:r>
          </w:p>
        </w:tc>
        <w:tc>
          <w:tcPr>
            <w:tcW w:w="3920" w:type="dxa"/>
            <w:vAlign w:val="bottom"/>
            <w:gridSpan w:val="11"/>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Combined Statements of Comprehensive Income (Loss) (Unaudited)</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Condensed Combined Statements of Cash Flows (Unaudited)</w:t>
            </w:r>
          </w:p>
        </w:tc>
        <w:tc>
          <w:tcPr>
            <w:tcW w:w="1420" w:type="dxa"/>
            <w:vAlign w:val="bottom"/>
            <w:gridSpan w:val="5"/>
          </w:tcPr>
          <w:p>
            <w:pPr>
              <w:spacing w:after="0"/>
              <w:rPr>
                <w:sz w:val="18"/>
                <w:szCs w:val="18"/>
                <w:color w:val="auto"/>
              </w:rPr>
            </w:pPr>
          </w:p>
        </w:tc>
        <w:tc>
          <w:tcPr>
            <w:tcW w:w="2500" w:type="dxa"/>
            <w:vAlign w:val="bottom"/>
            <w:gridSpan w:val="6"/>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Condensed Combined Statements of Changes in Parent Company Net Investment (Unaudited)</w:t>
            </w:r>
          </w:p>
        </w:tc>
        <w:tc>
          <w:tcPr>
            <w:tcW w:w="1500" w:type="dxa"/>
            <w:vAlign w:val="bottom"/>
            <w:gridSpan w:val="4"/>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Combined Financial Statements (Unaudited)</w:t>
            </w:r>
          </w:p>
        </w:tc>
        <w:tc>
          <w:tcPr>
            <w:tcW w:w="2080" w:type="dxa"/>
            <w:vAlign w:val="bottom"/>
            <w:gridSpan w:val="4"/>
          </w:tcPr>
          <w:p>
            <w:pPr>
              <w:spacing w:after="0"/>
              <w:rPr>
                <w:sz w:val="18"/>
                <w:szCs w:val="18"/>
                <w:color w:val="auto"/>
              </w:rPr>
            </w:pPr>
          </w:p>
        </w:tc>
        <w:tc>
          <w:tcPr>
            <w:tcW w:w="1500" w:type="dxa"/>
            <w:vAlign w:val="bottom"/>
            <w:gridSpan w:val="4"/>
          </w:tcPr>
          <w:p>
            <w:pPr>
              <w:spacing w:after="0"/>
              <w:rPr>
                <w:sz w:val="18"/>
                <w:szCs w:val="18"/>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060" w:type="dxa"/>
            <w:vAlign w:val="bottom"/>
            <w:gridSpan w:val="4"/>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of Enviri</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800" w:type="dxa"/>
            <w:vAlign w:val="bottom"/>
            <w:tcBorders>
              <w:left w:val="single" w:sz="8" w:color="0000FF"/>
            </w:tcBorders>
            <w:gridSpan w:val="9"/>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of New Enviri, a business</w:t>
            </w:r>
          </w:p>
        </w:tc>
        <w:tc>
          <w:tcPr>
            <w:tcW w:w="54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color w:val="0000FF"/>
                <w:w w:val="99"/>
              </w:rPr>
              <w:t>72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of Enviri Corporation (Supplemental)</w:t>
            </w:r>
          </w:p>
        </w:tc>
        <w:tc>
          <w:tcPr>
            <w:tcW w:w="1640" w:type="dxa"/>
            <w:vAlign w:val="bottom"/>
            <w:tcBorders>
              <w:top w:val="single" w:sz="8" w:color="0000FF"/>
            </w:tcBorders>
            <w:gridSpan w:val="3"/>
          </w:tcPr>
          <w:p>
            <w:pPr>
              <w:spacing w:after="0"/>
              <w:rPr>
                <w:sz w:val="13"/>
                <w:szCs w:val="13"/>
                <w:color w:val="auto"/>
              </w:rPr>
            </w:pPr>
          </w:p>
        </w:tc>
        <w:tc>
          <w:tcPr>
            <w:tcW w:w="400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3.</w:t>
            </w:r>
          </w:p>
        </w:tc>
        <w:tc>
          <w:tcPr>
            <w:tcW w:w="1040" w:type="dxa"/>
            <w:vAlign w:val="bottom"/>
            <w:gridSpan w:val="3"/>
            <w:vMerge w:val="restart"/>
          </w:tcPr>
          <w:p>
            <w:pPr>
              <w:spacing w:after="0" w:line="20" w:lineRule="exact"/>
              <w:rPr>
                <w:sz w:val="1"/>
                <w:szCs w:val="1"/>
                <w:color w:val="auto"/>
              </w:rPr>
            </w:pPr>
          </w:p>
        </w:tc>
        <w:tc>
          <w:tcPr>
            <w:tcW w:w="842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0" w:type="dxa"/>
            <w:vAlign w:val="bottom"/>
            <w:gridSpan w:val="2"/>
            <w:vMerge w:val="continue"/>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8420" w:type="dxa"/>
            <w:vAlign w:val="bottom"/>
            <w:gridSpan w:val="26"/>
            <w:vMerge w:val="continue"/>
          </w:tcPr>
          <w:p>
            <w:pPr>
              <w:spacing w:after="0"/>
              <w:rPr>
                <w:sz w:val="24"/>
                <w:szCs w:val="24"/>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4"/>
                <w:szCs w:val="24"/>
                <w:color w:val="auto"/>
              </w:rPr>
            </w:pPr>
          </w:p>
        </w:tc>
        <w:tc>
          <w:tcPr>
            <w:tcW w:w="1040" w:type="dxa"/>
            <w:vAlign w:val="bottom"/>
            <w:gridSpan w:val="3"/>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040" w:type="dxa"/>
            <w:vAlign w:val="bottom"/>
            <w:tcBorders>
              <w:top w:val="single" w:sz="8" w:color="0000FF"/>
            </w:tcBorders>
            <w:gridSpan w:val="3"/>
          </w:tcPr>
          <w:p>
            <w:pPr>
              <w:spacing w:after="0"/>
              <w:rPr>
                <w:sz w:val="24"/>
                <w:szCs w:val="24"/>
                <w:color w:val="auto"/>
              </w:rPr>
            </w:pPr>
          </w:p>
        </w:tc>
        <w:tc>
          <w:tcPr>
            <w:tcW w:w="13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60" w:type="dxa"/>
            <w:vAlign w:val="bottom"/>
            <w:gridSpan w:val="20"/>
          </w:tcPr>
          <w:p>
            <w:pPr>
              <w:spacing w:after="0"/>
              <w:rPr>
                <w:sz w:val="24"/>
                <w:szCs w:val="24"/>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100" w:type="dxa"/>
            <w:vAlign w:val="bottom"/>
            <w:gridSpan w:val="16"/>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640" w:type="dxa"/>
            <w:vAlign w:val="bottom"/>
            <w:gridSpan w:val="18"/>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040" w:type="dxa"/>
            <w:vAlign w:val="bottom"/>
            <w:gridSpan w:val="3"/>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100" w:type="dxa"/>
            <w:vAlign w:val="bottom"/>
            <w:gridSpan w:val="21"/>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040" w:type="dxa"/>
            <w:vAlign w:val="bottom"/>
            <w:gridSpan w:val="3"/>
          </w:tcPr>
          <w:p>
            <w:pPr>
              <w:spacing w:after="0"/>
              <w:rPr>
                <w:sz w:val="24"/>
                <w:szCs w:val="24"/>
                <w:color w:val="auto"/>
              </w:rPr>
            </w:pPr>
          </w:p>
        </w:tc>
        <w:tc>
          <w:tcPr>
            <w:tcW w:w="8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4"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further described below, on June 1, 2026, the transactions contemplated by the Separation Agreement and the Merger Agreement were completed, and New Enviri is now a separate, publicly traded company that holds the Harsco Environmental and Rail segments. See “Glossary” for the definition of certain capitalized terms used in this Quarterly Report on Form 10-Q.</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20, 2025, Enviri, as defined below (also the "Parent"), entered into definitive agreements with Veolia Environnement S.A., a French société anonyme (“Veolia”), for the sale of Enviri’s Clean Earth segment and the distribution of Enviri’s Harsco Environmental and Rail segments, including (i) an Agreement and Plan of Merger, dated as of November 20, 2025 (the “Merger Agreement”), by and among Enviri, CE Holdings, Enviri LLC, Veolia and Liberty Merger Sub Inc., a Delaware corporation and wholly owned indirect subsidiary of Veolia (“Merger Sub”), and (ii) a Separation Agreement, dated as of November 20, 2025 (the “Separation Agreement”), by and among Enviri, CE Holdings, Veolia and New Enviri.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2026, the following series of transactions occurred:</w:t>
      </w:r>
    </w:p>
    <w:p>
      <w:pPr>
        <w:spacing w:after="0" w:line="293" w:lineRule="exact"/>
        <w:rPr>
          <w:sz w:val="20"/>
          <w:szCs w:val="20"/>
          <w:color w:val="auto"/>
        </w:rPr>
      </w:pPr>
    </w:p>
    <w:p>
      <w:pPr>
        <w:ind w:left="660" w:right="10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Pursuant to Section 251(g) of the Delaware General Corporation Law, Enviri merged with and into Enviri LLC, with Enviri LLC being the surviving entity of such merger, and each outstanding share of common stock, par value $1.25 per share, of Enviri (“Enviri Common Stock”) was exchanged for one share of common stock, par value $1.25 per share, of CE Holdings (“CE Holdings Common Stock”) (the “Holding Company Merger”);</w:t>
      </w:r>
    </w:p>
    <w:p>
      <w:pPr>
        <w:spacing w:after="0" w:line="262" w:lineRule="exact"/>
        <w:rPr>
          <w:rFonts w:ascii="Arial" w:cs="Arial" w:eastAsia="Arial" w:hAnsi="Arial"/>
          <w:sz w:val="22"/>
          <w:szCs w:val="22"/>
          <w:color w:val="auto"/>
        </w:rPr>
      </w:pPr>
    </w:p>
    <w:p>
      <w:pPr>
        <w:ind w:left="660" w:right="18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 Holdings and its subsidiaries, including Enviri LLC and New Enviri, effected a reorganization (the “Reorganization”), resulting in (i) CE Holdings holding the Clean Earth segment and owning all of the outstanding shares of common stock, par value $0.00001 per share, of New Enviri (“New Enviri Common Stock”), (ii) New Enviri owning all of the equity interests of Enviri LLC, and (iii) Enviri LLC holding the Harsco Environmental and Rail segments; and</w:t>
      </w:r>
    </w:p>
    <w:p>
      <w:pPr>
        <w:spacing w:after="0" w:line="262" w:lineRule="exact"/>
        <w:rPr>
          <w:rFonts w:ascii="Times New Roman" w:cs="Times New Roman" w:eastAsia="Times New Roman" w:hAnsi="Times New Roman"/>
          <w:sz w:val="22"/>
          <w:szCs w:val="22"/>
          <w:color w:val="auto"/>
        </w:rPr>
      </w:pPr>
    </w:p>
    <w:p>
      <w:pPr>
        <w:ind w:left="660" w:right="80" w:hanging="328"/>
        <w:spacing w:after="0" w:line="24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 Holdings distributed all of the outstanding shares of New Enviri Common Stock to the stockholders of CE Holdings (the former stockholders of Enviri), on a pro rata basis (the “Distribution”) and, together with the Reorganization, the “Spin-Off”), at a ratio of one share of New Enviri Common Stock for every three shares of CE Holdings Common Stock held by them immediately after the effective time of the Holding Company Merger.</w:t>
      </w:r>
    </w:p>
    <w:p>
      <w:pPr>
        <w:spacing w:after="0" w:line="2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Merger Sub merged with and into CE Holdings, with CE Holdings surviving as an indirect wholly owned subsidiary of Veolia (the “Merger”).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Quarterly Report on Form 10-Q to “New Enviri,” the “Company,” “we,” “us” or “our” mean Enviri II Corporation, renamed Enviri Corporation on June 2, 2026, a Delaware corporation, and its direct and indirect subsidiaries after giving effect to the Spin-Off.</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New Enviri is the registrant and the financial reporting entity following the completion of the Transactions, as defined below. Enviri, which was merged into Enviri LLC, with Enviri LLC surviving, no longer exists as a separate company following the completion of the Transactions.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Notwithstanding the legal form of the Spin-Off described above, the Spin-Off is being treated as a reverse spin-off for accounting and financial reporting purposes in accordance with ASC 505-60, Spinoffs and Reverse Spinoffs. This treatment is primarily a result of the size of New Enviri, the legal spinee, relative to CE Holdings, the legal spinnor, and because Merger Sub merged with and into CE Holdings immediately following the Distribution, no members of corporate senior management of Enviri were retained by CE Holdings following the Distribution and the Merger occurred immediately after the Spin-Off. As a result, New Enviri is considered the accounting spinnor of CE Holdings.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also determined that Enviri represents the accounting predecessor to New Enviri and New Enviri represents the accounting successor to Enviri. Therefore, this Quarterly Report on Form 10-Q includes certain historical consolidated financial and other data for Enviri and certain supplemental historical combined financial and other data for New Enviri, a business of Enviri Corporation. Financial statements of New Enviri have not been included in this Quarterly Report on Form 10-Q as it was a wholly owned subsidiary of Enviri prior to the Spin-Off. Consequently, stand-alone financial statements have not historically been prepared for New Enviri.</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following the period covered by this report (March 31, 2026), the historical financial statements of New Enviri, with respect to periods prior to June 1, 2026, will be represented by the historical financial statements of Enviri and the Clean Earth Business will be reported as discontinued operations in accordance with ASC 205-20, Discontinued Operations.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Enviri’s historical results are not representative of the results that New Enviri would have achieved as a separate, publicly traded company nor indicative of the results expected for any future period. In addition, the supplemental unaudited condensed combined financial statements are being provided for illustrative purposes only, are not indicative of New Enviri’s future performance and do not reflect what New Enviri’s results would have been had New Enviri operated as a separate, publicly traded company during the periods presented.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Enviri Information</w:t>
      </w:r>
    </w:p>
    <w:p>
      <w:pPr>
        <w:spacing w:after="0" w:line="2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May 11, 2026, Enviri filed a Quarterly Report on Form 10-Q for the period covered by this report (March 31, 2026). Except as otherwise indicated or unless the context otherwise requires, the information included in this Quarterly Report on Form 10-Q about Enviri, including in the Enviri unaudited condensed consolidated financial statements and the Enviri Management’s Discussion and Analysis of Financial Condition and Results of Operations, is provided as of May 11, 2026. As a result, such information presents historical information about Enviri prior to the completion of the Transactions and includes the Clean Earth Business that is not part of New Enviri.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Enviri Information</w:t>
      </w:r>
    </w:p>
    <w:p>
      <w:pPr>
        <w:spacing w:after="0" w:line="254"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Although this Quarterly Report on Form 10-Q covers the period prior to the completion of the Transactions (March 31, 2026), except as otherwise indicated or unless the context otherwise requires, the information included in this Quarterly Report on Form 10-Q about New Enviri assumes the completion of the Transactions.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tc>
        <w:tc>
          <w:tcPr>
            <w:tcW w:w="0" w:type="dxa"/>
            <w:vAlign w:val="bottom"/>
          </w:tcPr>
          <w:p>
            <w:pPr>
              <w:spacing w:after="0"/>
              <w:rPr>
                <w:sz w:val="1"/>
                <w:szCs w:val="1"/>
                <w:color w:val="auto"/>
              </w:rPr>
            </w:pPr>
          </w:p>
        </w:tc>
      </w:tr>
      <w:tr>
        <w:trPr>
          <w:trHeight w:val="459"/>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Several terms are used in this Quarterly Report on Form 10-Q, which are further defined below:</w:t>
            </w:r>
          </w:p>
        </w:tc>
        <w:tc>
          <w:tcPr>
            <w:tcW w:w="0" w:type="dxa"/>
            <w:vAlign w:val="bottom"/>
          </w:tcPr>
          <w:p>
            <w:pPr>
              <w:spacing w:after="0"/>
              <w:rPr>
                <w:sz w:val="1"/>
                <w:szCs w:val="1"/>
                <w:color w:val="auto"/>
              </w:rPr>
            </w:pPr>
          </w:p>
        </w:tc>
      </w:tr>
      <w:tr>
        <w:trPr>
          <w:trHeight w:val="49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00" w:type="dxa"/>
            <w:vAlign w:val="bottom"/>
            <w:tcBorders>
              <w:top w:val="single" w:sz="8" w:color="CCEEFF"/>
            </w:tcBorders>
            <w:shd w:val="clear" w:color="auto" w:fill="CCEEFF"/>
          </w:tcPr>
          <w:p>
            <w:pPr>
              <w:spacing w:after="0"/>
              <w:rPr>
                <w:sz w:val="19"/>
                <w:szCs w:val="19"/>
                <w:color w:val="auto"/>
              </w:rPr>
            </w:pPr>
          </w:p>
        </w:tc>
        <w:tc>
          <w:tcPr>
            <w:tcW w:w="8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 Facility</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trade receivables securitization facility</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ASU</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 Accounting Standards Update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 or Clean Earth</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Earth reportable business segment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CLEH, Inc., a Delaware corporation and, prior to the Holding Company Merger, a direct wholly owned subsidiary</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 Holdings</w:t>
            </w:r>
          </w:p>
        </w:tc>
        <w:tc>
          <w:tcPr>
            <w:tcW w:w="8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of Enviri, and, after the Holding Company Merger, the direct parent of Enviri LLC and New Enviri, and after the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60" w:type="dxa"/>
            <w:vAlign w:val="bottom"/>
            <w:gridSpan w:val="2"/>
            <w:vMerge w:val="continue"/>
            <w:shd w:val="clear" w:color="auto" w:fill="CCEEFF"/>
          </w:tcPr>
          <w:p>
            <w:pPr>
              <w:spacing w:after="0"/>
              <w:rPr>
                <w:sz w:val="12"/>
                <w:szCs w:val="12"/>
                <w:color w:val="auto"/>
              </w:rPr>
            </w:pPr>
          </w:p>
        </w:tc>
        <w:tc>
          <w:tcPr>
            <w:tcW w:w="828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Merger, an indirect wholly owned subsidiary of Veolia that will directly and indirectly hold the Clean Earth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80" w:type="dxa"/>
            <w:vAlign w:val="bottom"/>
            <w:vMerge w:val="continue"/>
            <w:shd w:val="clear" w:color="auto" w:fill="CCEEFF"/>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CERCLA</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Environmental Response, Compensation, and Liability Act of 1980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Consolidated Adjusted EBITDA  </w:t>
            </w:r>
            <w:r>
              <w:rPr>
                <w:rFonts w:ascii="Times New Roman" w:cs="Times New Roman" w:eastAsia="Times New Roman" w:hAnsi="Times New Roman"/>
                <w:sz w:val="18"/>
                <w:szCs w:val="18"/>
                <w:color w:val="auto"/>
              </w:rPr>
              <w:t>EBITDA as calculated in accordance with the Credit Agreement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governing the Senior Secured Credit Facilities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DEA</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Drug Enforcement Administration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Deutsche Bahn</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railway company in Germany</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DTSC</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Department of Toxic Substances Control</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 depreciation and amortization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5"/>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tcBorders>
              <w:bottom w:val="single" w:sz="8" w:color="CCEEFF"/>
            </w:tcBorders>
          </w:tcPr>
          <w:p>
            <w:pPr>
              <w:spacing w:after="0"/>
              <w:rPr>
                <w:sz w:val="20"/>
                <w:szCs w:val="20"/>
                <w:color w:val="auto"/>
              </w:rPr>
            </w:pPr>
          </w:p>
        </w:tc>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Enviri</w:t>
            </w:r>
          </w:p>
        </w:tc>
        <w:tc>
          <w:tcPr>
            <w:tcW w:w="82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Enviri Corporation, a Delaware corporation, which, prior to the Holding Company Merger, held Harsco</w:t>
            </w:r>
          </w:p>
        </w:tc>
        <w:tc>
          <w:tcPr>
            <w:tcW w:w="0" w:type="dxa"/>
            <w:vAlign w:val="bottom"/>
          </w:tcPr>
          <w:p>
            <w:pPr>
              <w:spacing w:after="0"/>
              <w:rPr>
                <w:sz w:val="1"/>
                <w:szCs w:val="1"/>
                <w:color w:val="auto"/>
              </w:rPr>
            </w:pPr>
          </w:p>
        </w:tc>
      </w:tr>
      <w:tr>
        <w:trPr>
          <w:trHeight w:val="184"/>
        </w:trPr>
        <w:tc>
          <w:tcPr>
            <w:tcW w:w="2660" w:type="dxa"/>
            <w:vAlign w:val="bottom"/>
            <w:gridSpan w:val="2"/>
            <w:vMerge w:val="continue"/>
            <w:shd w:val="clear" w:color="auto" w:fill="CCEEFF"/>
          </w:tcPr>
          <w:p>
            <w:pPr>
              <w:spacing w:after="0"/>
              <w:rPr>
                <w:sz w:val="16"/>
                <w:szCs w:val="16"/>
                <w:color w:val="auto"/>
              </w:rPr>
            </w:pPr>
          </w:p>
        </w:tc>
        <w:tc>
          <w:tcPr>
            <w:tcW w:w="8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Environmental, Clean Earth and Rail as a separate, publicly traded company, and, in connection with the Holding</w:t>
            </w: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Merger merged into Enviri LLC, with Enviri LLC being the surviving entity of such Merger</w:t>
            </w:r>
          </w:p>
        </w:tc>
        <w:tc>
          <w:tcPr>
            <w:tcW w:w="0" w:type="dxa"/>
            <w:vAlign w:val="bottom"/>
          </w:tcPr>
          <w:p>
            <w:pPr>
              <w:spacing w:after="0"/>
              <w:rPr>
                <w:sz w:val="1"/>
                <w:szCs w:val="1"/>
                <w:color w:val="auto"/>
              </w:rPr>
            </w:pPr>
          </w:p>
        </w:tc>
      </w:tr>
      <w:tr>
        <w:trPr>
          <w:trHeight w:val="176"/>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Enviri LLC</w:t>
            </w:r>
          </w:p>
        </w:tc>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Enviri, LLC, a Delaware limited liability company and, prior to the Holding Company Merger and</w:t>
            </w:r>
          </w:p>
        </w:tc>
        <w:tc>
          <w:tcPr>
            <w:tcW w:w="0" w:type="dxa"/>
            <w:vAlign w:val="bottom"/>
          </w:tcPr>
          <w:p>
            <w:pPr>
              <w:spacing w:after="0"/>
              <w:rPr>
                <w:sz w:val="1"/>
                <w:szCs w:val="1"/>
                <w:color w:val="auto"/>
              </w:rPr>
            </w:pPr>
          </w:p>
        </w:tc>
      </w:tr>
      <w:tr>
        <w:trPr>
          <w:trHeight w:val="184"/>
        </w:trPr>
        <w:tc>
          <w:tcPr>
            <w:tcW w:w="2660" w:type="dxa"/>
            <w:vAlign w:val="bottom"/>
            <w:gridSpan w:val="2"/>
            <w:vMerge w:val="continue"/>
          </w:tcPr>
          <w:p>
            <w:pPr>
              <w:spacing w:after="0"/>
              <w:rPr>
                <w:sz w:val="16"/>
                <w:szCs w:val="16"/>
                <w:color w:val="auto"/>
              </w:rPr>
            </w:pPr>
          </w:p>
        </w:tc>
        <w:tc>
          <w:tcPr>
            <w:tcW w:w="8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Reorganization, a direct wholly owned subsidiary of CE Holdings, and, after the Reorganization, a direct wholly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New Enviri</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EPA</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ESOL</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Stericycle Environmental Solutions business</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FASB</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 or Harsco Environmental</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Harsco Environmental reportable business segment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ISDA</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minus cash and cash equivalents, as defined in the Credit Agreement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Network Rail</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manager for most of the railway in the U.K.</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OCI</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Rail</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Harsco Rail reportable business segment</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under the Senior Secured Credit Facilities containing (x) prior to the completion of the</w:t>
            </w:r>
          </w:p>
        </w:tc>
        <w:tc>
          <w:tcPr>
            <w:tcW w:w="0" w:type="dxa"/>
            <w:vAlign w:val="bottom"/>
          </w:tcPr>
          <w:p>
            <w:pPr>
              <w:spacing w:after="0"/>
              <w:rPr>
                <w:sz w:val="1"/>
                <w:szCs w:val="1"/>
                <w:color w:val="auto"/>
              </w:rPr>
            </w:pPr>
          </w:p>
        </w:tc>
      </w:tr>
      <w:tr>
        <w:trPr>
          <w:trHeight w:val="184"/>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8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Transactions, $50.0 million maturing on the earlier of (i) July 1, 2026 and (ii) the closing date on which Clean</w:t>
            </w:r>
          </w:p>
        </w:tc>
        <w:tc>
          <w:tcPr>
            <w:tcW w:w="0" w:type="dxa"/>
            <w:vAlign w:val="bottom"/>
          </w:tcPr>
          <w:p>
            <w:pPr>
              <w:spacing w:after="0"/>
              <w:rPr>
                <w:sz w:val="1"/>
                <w:szCs w:val="1"/>
                <w:color w:val="auto"/>
              </w:rPr>
            </w:pPr>
          </w:p>
        </w:tc>
      </w:tr>
      <w:tr>
        <w:trPr>
          <w:trHeight w:val="140"/>
        </w:trPr>
        <w:tc>
          <w:tcPr>
            <w:tcW w:w="2660" w:type="dxa"/>
            <w:vAlign w:val="bottom"/>
            <w:gridSpan w:val="2"/>
            <w:vMerge w:val="continue"/>
          </w:tcPr>
          <w:p>
            <w:pPr>
              <w:spacing w:after="0"/>
              <w:rPr>
                <w:sz w:val="12"/>
                <w:szCs w:val="12"/>
                <w:color w:val="auto"/>
              </w:rPr>
            </w:pPr>
          </w:p>
        </w:tc>
        <w:tc>
          <w:tcPr>
            <w:tcW w:w="828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Earth is sold to Veolia and $625.0 million maturing on September 5, 2029 and (y) following the completion of the</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$152.0 million maturing on September 5,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94372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3725" cy="145415"/>
                    </a:xfrm>
                    <a:prstGeom prst="rect">
                      <a:avLst/>
                    </a:prstGeom>
                    <a:noFill/>
                  </pic:spPr>
                </pic:pic>
              </a:graphicData>
            </a:graphic>
          </wp:anchor>
        </w:drawing>
      </w:r>
    </w:p>
    <w:p>
      <w:pPr>
        <w:sectPr>
          <w:pgSz w:w="11900" w:h="16838" w:orient="portrait"/>
          <w:cols w:equalWidth="0" w:num="1">
            <w:col w:w="10940"/>
          </w:cols>
          <w:pgMar w:left="320" w:top="114" w:right="6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SBB</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Senior Secured Credit Facilities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SOFR</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Federal railway system of 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Kingdom of Bahrain's Supreme Council for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14605</wp:posOffset>
            </wp:positionV>
            <wp:extent cx="694372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372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5.75% Notes due July 31, 2027, which were redeemed in connection with the completion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14605</wp:posOffset>
            </wp:positionV>
            <wp:extent cx="694372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source of borrowings comprised of the Term Loan and the Revolving Credit Facility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14605</wp:posOffset>
            </wp:positionV>
            <wp:extent cx="694372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266065"/>
                    </a:xfrm>
                    <a:prstGeom prst="rect">
                      <a:avLst/>
                    </a:prstGeom>
                    <a:noFill/>
                  </pic:spPr>
                </pic:pic>
              </a:graphicData>
            </a:graphic>
          </wp:anchor>
        </w:drawing>
      </w:r>
    </w:p>
    <w:p>
      <w:pPr>
        <w:spacing w:after="0" w:line="3" w:lineRule="exact"/>
        <w:rPr>
          <w:sz w:val="20"/>
          <w:szCs w:val="20"/>
          <w:color w:val="auto"/>
        </w:rPr>
      </w:pPr>
    </w:p>
    <w:p>
      <w:pPr>
        <w:ind w:right="600"/>
        <w:spacing w:after="0" w:line="234" w:lineRule="auto"/>
        <w:rPr>
          <w:sz w:val="20"/>
          <w:szCs w:val="20"/>
          <w:color w:val="auto"/>
        </w:rPr>
      </w:pPr>
      <w:r>
        <w:rPr>
          <w:rFonts w:ascii="Times New Roman" w:cs="Times New Roman" w:eastAsia="Times New Roman" w:hAnsi="Times New Roman"/>
          <w:sz w:val="18"/>
          <w:szCs w:val="18"/>
          <w:color w:val="auto"/>
        </w:rPr>
        <w:t>Enviri's wholly-owned bankruptcy-remote special purpose entity, which is used in connection with the AR Facility</w:t>
      </w:r>
    </w:p>
    <w:p>
      <w:pPr>
        <w:spacing w:after="0" w:line="1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$500 million term loan raised in March 2021 under the Senior Secured Credit Facilities, maturing on March 10, 2028</w:t>
      </w:r>
    </w:p>
    <w:p>
      <w:pPr>
        <w:spacing w:after="0" w:line="10" w:lineRule="exact"/>
        <w:rPr>
          <w:sz w:val="20"/>
          <w:szCs w:val="20"/>
          <w:color w:val="auto"/>
        </w:rPr>
      </w:pPr>
    </w:p>
    <w:p>
      <w:pPr>
        <w:ind w:right="2220"/>
        <w:spacing w:after="0" w:line="297" w:lineRule="auto"/>
        <w:rPr>
          <w:sz w:val="20"/>
          <w:szCs w:val="20"/>
          <w:color w:val="auto"/>
        </w:rPr>
      </w:pPr>
      <w:r>
        <w:rPr>
          <w:rFonts w:ascii="Times New Roman" w:cs="Times New Roman" w:eastAsia="Times New Roman" w:hAnsi="Times New Roman"/>
          <w:sz w:val="18"/>
          <w:szCs w:val="18"/>
          <w:color w:val="auto"/>
        </w:rPr>
        <w:t>The Holding Company Merger, the Reorganization, the Distribution and the Merger Accounting principles generally accepted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-321310</wp:posOffset>
            </wp:positionV>
            <wp:extent cx="69437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20"/>
            <w:col w:w="8260"/>
          </w:cols>
          <w:pgMar w:left="320" w:top="11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4" w:right="6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3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24"/>
                <w:szCs w:val="24"/>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36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60" w:type="dxa"/>
            <w:vAlign w:val="bottom"/>
            <w:tcBorders>
              <w:top w:val="single" w:sz="8" w:color="auto"/>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103,671</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21,677</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285,516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267,439</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Other receivables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46,930</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180,548</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26,968</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61,996</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0" w:type="dxa"/>
            <w:vAlign w:val="bottom"/>
          </w:tcPr>
          <w:p>
            <w:pPr>
              <w:spacing w:after="0"/>
              <w:rPr>
                <w:sz w:val="1"/>
                <w:szCs w:val="1"/>
                <w:color w:val="auto"/>
              </w:rPr>
            </w:pPr>
          </w:p>
        </w:tc>
      </w:tr>
      <w:tr>
        <w:trPr>
          <w:trHeight w:val="211"/>
        </w:trPr>
        <w:tc>
          <w:tcPr>
            <w:tcW w:w="83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722,110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720,681</w:t>
            </w:r>
          </w:p>
        </w:tc>
        <w:tc>
          <w:tcPr>
            <w:tcW w:w="0" w:type="dxa"/>
            <w:vAlign w:val="bottom"/>
          </w:tcPr>
          <w:p>
            <w:pPr>
              <w:spacing w:after="0"/>
              <w:rPr>
                <w:sz w:val="1"/>
                <w:szCs w:val="1"/>
                <w:color w:val="auto"/>
              </w:rPr>
            </w:pPr>
          </w:p>
        </w:tc>
      </w:tr>
      <w:tr>
        <w:trPr>
          <w:trHeight w:val="208"/>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699,664</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132,323</w:t>
            </w:r>
          </w:p>
        </w:tc>
        <w:tc>
          <w:tcPr>
            <w:tcW w:w="0" w:type="dxa"/>
            <w:vAlign w:val="bottom"/>
          </w:tcPr>
          <w:p>
            <w:pPr>
              <w:spacing w:after="0"/>
              <w:rPr>
                <w:sz w:val="1"/>
                <w:szCs w:val="1"/>
                <w:color w:val="auto"/>
              </w:rPr>
            </w:pPr>
          </w:p>
        </w:tc>
      </w:tr>
      <w:tr>
        <w:trPr>
          <w:trHeight w:val="21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753,858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758,680</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266,508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273,088</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Retirement plan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55,743</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11,419</w:t>
            </w:r>
          </w:p>
        </w:tc>
        <w:tc>
          <w:tcPr>
            <w:tcW w:w="0" w:type="dxa"/>
            <w:vAlign w:val="bottom"/>
          </w:tcPr>
          <w:p>
            <w:pPr>
              <w:spacing w:after="0"/>
              <w:rPr>
                <w:sz w:val="1"/>
                <w:szCs w:val="1"/>
                <w:color w:val="auto"/>
              </w:rPr>
            </w:pPr>
          </w:p>
        </w:tc>
      </w:tr>
      <w:tr>
        <w:trPr>
          <w:trHeight w:val="214"/>
        </w:trPr>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6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58,587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57,073</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2,704,109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2,708,671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11,490</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25,874</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239,650</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67,331</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Reserve for forward losses on contracts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61,037</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portion of advances on contracts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20,839</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30,077</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159,408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165,661</w:t>
            </w: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640,692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634,024</w:t>
            </w:r>
          </w:p>
        </w:tc>
        <w:tc>
          <w:tcPr>
            <w:tcW w:w="0" w:type="dxa"/>
            <w:vAlign w:val="bottom"/>
          </w:tcPr>
          <w:p>
            <w:pPr>
              <w:spacing w:after="0"/>
              <w:rPr>
                <w:sz w:val="1"/>
                <w:szCs w:val="1"/>
                <w:color w:val="auto"/>
              </w:rPr>
            </w:pPr>
          </w:p>
        </w:tc>
      </w:tr>
      <w:tr>
        <w:trPr>
          <w:trHeight w:val="211"/>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1,556,751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1,530,309</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Retirement plan liabilities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26,208</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104,654</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Environmental liabilities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38,256</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57,944</w:t>
            </w:r>
          </w:p>
        </w:tc>
        <w:tc>
          <w:tcPr>
            <w:tcW w:w="0" w:type="dxa"/>
            <w:vAlign w:val="bottom"/>
          </w:tcPr>
          <w:p>
            <w:pPr>
              <w:spacing w:after="0"/>
              <w:rPr>
                <w:sz w:val="1"/>
                <w:szCs w:val="1"/>
                <w:color w:val="auto"/>
              </w:rPr>
            </w:pPr>
          </w:p>
        </w:tc>
      </w:tr>
      <w:tr>
        <w:trPr>
          <w:trHeight w:val="211"/>
        </w:trPr>
        <w:tc>
          <w:tcPr>
            <w:tcW w:w="83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2,429,198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2,413,084</w:t>
            </w:r>
          </w:p>
        </w:tc>
        <w:tc>
          <w:tcPr>
            <w:tcW w:w="0" w:type="dxa"/>
            <w:vAlign w:val="bottom"/>
          </w:tcPr>
          <w:p>
            <w:pPr>
              <w:spacing w:after="0"/>
              <w:rPr>
                <w:sz w:val="1"/>
                <w:szCs w:val="1"/>
                <w:color w:val="auto"/>
              </w:rPr>
            </w:pPr>
          </w:p>
        </w:tc>
      </w:tr>
      <w:tr>
        <w:trPr>
          <w:trHeight w:val="19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ENVIRI CORPORATION STOCKHOLDERS’ EQUITY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149,519</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273,436</w:t>
            </w:r>
          </w:p>
        </w:tc>
        <w:tc>
          <w:tcPr>
            <w:tcW w:w="0" w:type="dxa"/>
            <w:vAlign w:val="bottom"/>
          </w:tcPr>
          <w:p>
            <w:pPr>
              <w:spacing w:after="0"/>
              <w:rPr>
                <w:sz w:val="1"/>
                <w:szCs w:val="1"/>
                <w:color w:val="auto"/>
              </w:rPr>
            </w:pPr>
          </w:p>
        </w:tc>
      </w:tr>
      <w:tr>
        <w:trPr>
          <w:trHeight w:val="214"/>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(509,773)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(514,481)</w:t>
            </w:r>
          </w:p>
        </w:tc>
        <w:tc>
          <w:tcPr>
            <w:tcW w:w="0" w:type="dxa"/>
            <w:vAlign w:val="bottom"/>
          </w:tcPr>
          <w:p>
            <w:pPr>
              <w:spacing w:after="0"/>
              <w:rPr>
                <w:sz w:val="1"/>
                <w:szCs w:val="1"/>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1,200,569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1,211,234</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(882,901)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(864,646)</w:t>
            </w:r>
          </w:p>
        </w:tc>
        <w:tc>
          <w:tcPr>
            <w:tcW w:w="0" w:type="dxa"/>
            <w:vAlign w:val="bottom"/>
          </w:tcPr>
          <w:p>
            <w:pPr>
              <w:spacing w:after="0"/>
              <w:rPr>
                <w:sz w:val="1"/>
                <w:szCs w:val="1"/>
                <w:color w:val="auto"/>
              </w:rPr>
            </w:pPr>
          </w:p>
        </w:tc>
      </w:tr>
      <w:tr>
        <w:trPr>
          <w:trHeight w:val="211"/>
        </w:trPr>
        <w:tc>
          <w:tcPr>
            <w:tcW w:w="83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Enviri Corporation stockholders’ equity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255,062</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40,525</w:t>
            </w:r>
          </w:p>
        </w:tc>
        <w:tc>
          <w:tcPr>
            <w:tcW w:w="0" w:type="dxa"/>
            <w:vAlign w:val="bottom"/>
          </w:tcPr>
          <w:p>
            <w:pPr>
              <w:spacing w:after="0"/>
              <w:rPr>
                <w:sz w:val="1"/>
                <w:szCs w:val="1"/>
                <w:color w:val="auto"/>
              </w:rPr>
            </w:pPr>
          </w:p>
        </w:tc>
      </w:tr>
      <w:tr>
        <w:trPr>
          <w:trHeight w:val="210"/>
        </w:trPr>
        <w:tc>
          <w:tcPr>
            <w:tcW w:w="83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274,911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295,587</w:t>
            </w:r>
          </w:p>
        </w:tc>
        <w:tc>
          <w:tcPr>
            <w:tcW w:w="0" w:type="dxa"/>
            <w:vAlign w:val="bottom"/>
          </w:tcPr>
          <w:p>
            <w:pPr>
              <w:spacing w:after="0"/>
              <w:rPr>
                <w:sz w:val="1"/>
                <w:szCs w:val="1"/>
                <w:color w:val="auto"/>
              </w:rPr>
            </w:pPr>
          </w:p>
        </w:tc>
      </w:tr>
      <w:tr>
        <w:trPr>
          <w:trHeight w:val="211"/>
        </w:trPr>
        <w:tc>
          <w:tcPr>
            <w:tcW w:w="83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2,704,109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2,708,671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unaudited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from continuing operations: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Service revenues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484,025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476,463</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revenues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71,444</w:t>
            </w:r>
          </w:p>
        </w:tc>
        <w:tc>
          <w:tcPr>
            <w:tcW w:w="0" w:type="dxa"/>
            <w:vAlign w:val="bottom"/>
          </w:tcPr>
          <w:p>
            <w:pPr>
              <w:spacing w:after="0"/>
              <w:rPr>
                <w:sz w:val="1"/>
                <w:szCs w:val="1"/>
                <w:color w:val="auto"/>
              </w:rPr>
            </w:pPr>
          </w:p>
        </w:tc>
      </w:tr>
      <w:tr>
        <w:trPr>
          <w:trHeight w:val="208"/>
        </w:trPr>
        <w:tc>
          <w:tcPr>
            <w:tcW w:w="84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549,803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547,907</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 from continuing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services sold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381,964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372,402</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products sold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52,378</w:t>
            </w:r>
          </w:p>
        </w:tc>
        <w:tc>
          <w:tcPr>
            <w:tcW w:w="0" w:type="dxa"/>
            <w:vAlign w:val="bottom"/>
          </w:tcPr>
          <w:p>
            <w:pPr>
              <w:spacing w:after="0"/>
              <w:rPr>
                <w:sz w:val="1"/>
                <w:szCs w:val="1"/>
                <w:color w:val="auto"/>
              </w:rPr>
            </w:pPr>
          </w:p>
        </w:tc>
      </w:tr>
      <w:tr>
        <w:trPr>
          <w:trHeight w:val="214"/>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89,108</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0" w:type="dxa"/>
            <w:vAlign w:val="bottom"/>
          </w:tcPr>
          <w:p>
            <w:pPr>
              <w:spacing w:after="0"/>
              <w:rPr>
                <w:sz w:val="1"/>
                <w:szCs w:val="1"/>
                <w:color w:val="auto"/>
              </w:rPr>
            </w:pPr>
          </w:p>
        </w:tc>
      </w:tr>
      <w:tr>
        <w:trPr>
          <w:trHeight w:val="211"/>
        </w:trPr>
        <w:tc>
          <w:tcPr>
            <w:tcW w:w="84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549,010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518,646</w:t>
            </w:r>
          </w:p>
        </w:tc>
        <w:tc>
          <w:tcPr>
            <w:tcW w:w="0" w:type="dxa"/>
            <w:vAlign w:val="bottom"/>
          </w:tcPr>
          <w:p>
            <w:pPr>
              <w:spacing w:after="0"/>
              <w:rPr>
                <w:sz w:val="1"/>
                <w:szCs w:val="1"/>
                <w:color w:val="auto"/>
              </w:rPr>
            </w:pPr>
          </w:p>
        </w:tc>
      </w:tr>
      <w:tr>
        <w:trPr>
          <w:trHeight w:val="208"/>
        </w:trPr>
        <w:tc>
          <w:tcPr>
            <w:tcW w:w="84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Operating income (loss) from continuing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(26,574)</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Facility fees and debt-related income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Defined benefit pension income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211"/>
        </w:trPr>
        <w:tc>
          <w:tcPr>
            <w:tcW w:w="84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 and equity in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0" w:type="dxa"/>
            <w:vAlign w:val="bottom"/>
          </w:tcPr>
          <w:p>
            <w:pPr>
              <w:spacing w:after="0"/>
              <w:rPr>
                <w:sz w:val="1"/>
                <w:szCs w:val="1"/>
                <w:color w:val="auto"/>
              </w:rPr>
            </w:pPr>
          </w:p>
        </w:tc>
      </w:tr>
      <w:tr>
        <w:trPr>
          <w:trHeight w:val="21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from continuing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entities,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0" w:type="dxa"/>
            <w:vAlign w:val="bottom"/>
          </w:tcPr>
          <w:p>
            <w:pPr>
              <w:spacing w:after="0"/>
              <w:rPr>
                <w:sz w:val="1"/>
                <w:szCs w:val="1"/>
                <w:color w:val="auto"/>
              </w:rPr>
            </w:pPr>
          </w:p>
        </w:tc>
      </w:tr>
      <w:tr>
        <w:trPr>
          <w:trHeight w:val="19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businesses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 from discontinued businesses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Income (loss) from discontinued operations,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211"/>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Enviri Corporation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Enviri Corporation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net of tax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Net income (loss) attributable to Enviri Corporation common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80,331</w:t>
            </w:r>
          </w:p>
        </w:tc>
        <w:tc>
          <w:tcPr>
            <w:tcW w:w="0" w:type="dxa"/>
            <w:vAlign w:val="bottom"/>
          </w:tcPr>
          <w:p>
            <w:pPr>
              <w:spacing w:after="0"/>
              <w:rPr>
                <w:sz w:val="1"/>
                <w:szCs w:val="1"/>
                <w:color w:val="auto"/>
              </w:rPr>
            </w:pPr>
          </w:p>
        </w:tc>
      </w:tr>
      <w:tr>
        <w:trPr>
          <w:trHeight w:val="21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earnings (loss) per common share attributable to Enviri Corporation common stockholders: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(loss) per share attributable to Enviri Corporation common stockholders (a)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weighted-average shares of common stock outstanding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80,331</w:t>
            </w:r>
          </w:p>
        </w:tc>
        <w:tc>
          <w:tcPr>
            <w:tcW w:w="0" w:type="dxa"/>
            <w:vAlign w:val="bottom"/>
          </w:tcPr>
          <w:p>
            <w:pPr>
              <w:spacing w:after="0"/>
              <w:rPr>
                <w:sz w:val="1"/>
                <w:szCs w:val="1"/>
                <w:color w:val="auto"/>
              </w:rPr>
            </w:pPr>
          </w:p>
        </w:tc>
      </w:tr>
      <w:tr>
        <w:trPr>
          <w:trHeight w:val="21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(loss) per common share attributable to Enviri Corporation common stockholders: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share attributable to Enviri Corporation common stockholders (a)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Earnings (loss) per share attributable to Enviri Corporation common stockholders is calculated based on actual amounts. As a result, these per share amounts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020"/>
          </w:cols>
          <w:pgMar w:left="320" w:top="114" w:right="559" w:bottom="1440" w:gutter="0" w:footer="0" w:header="0"/>
        </w:sectPr>
      </w:pP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0" w:type="dxa"/>
            <w:vAlign w:val="bottom"/>
          </w:tcPr>
          <w:p>
            <w:pPr>
              <w:spacing w:after="0"/>
              <w:rPr>
                <w:sz w:val="1"/>
                <w:szCs w:val="1"/>
                <w:color w:val="auto"/>
              </w:rPr>
            </w:pPr>
          </w:p>
        </w:tc>
      </w:tr>
      <w:tr>
        <w:trPr>
          <w:trHeight w:val="20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16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deferred income taxes of $(1,375) and $1,956 in 2026 and</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respectively</w:t>
            </w:r>
          </w:p>
        </w:tc>
        <w:tc>
          <w:tcPr>
            <w:tcW w:w="3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0" w:type="dxa"/>
            <w:vAlign w:val="bottom"/>
          </w:tcPr>
          <w:p>
            <w:pPr>
              <w:spacing w:after="0"/>
              <w:rPr>
                <w:sz w:val="1"/>
                <w:szCs w:val="1"/>
                <w:color w:val="auto"/>
              </w:rPr>
            </w:pPr>
          </w:p>
        </w:tc>
      </w:tr>
      <w:tr>
        <w:trPr>
          <w:trHeight w:val="184"/>
        </w:trPr>
        <w:tc>
          <w:tcPr>
            <w:tcW w:w="816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Net gain (loss) on cash flow hedging instruments, net of deferred income taxes of $(435) and $783 in 2026</w:t>
            </w:r>
          </w:p>
        </w:tc>
        <w:tc>
          <w:tcPr>
            <w:tcW w:w="3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2025, respectively</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184"/>
        </w:trPr>
        <w:tc>
          <w:tcPr>
            <w:tcW w:w="816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Pension liability adjustments, net of deferred income taxes of $(196) and $(253) in 2026 and 2025,</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184"/>
        </w:trPr>
        <w:tc>
          <w:tcPr>
            <w:tcW w:w="816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Unrealized gain (loss) on marketable securities, net of deferred income taxes of $— and $1 in 2026 and</w:t>
            </w:r>
          </w:p>
        </w:tc>
        <w:tc>
          <w:tcPr>
            <w:tcW w:w="3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 respectively</w:t>
            </w:r>
          </w:p>
        </w:tc>
        <w:tc>
          <w:tcPr>
            <w:tcW w:w="3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w:t>
            </w:r>
          </w:p>
        </w:tc>
        <w:tc>
          <w:tcPr>
            <w:tcW w:w="0" w:type="dxa"/>
            <w:vAlign w:val="bottom"/>
          </w:tcPr>
          <w:p>
            <w:pPr>
              <w:spacing w:after="0"/>
              <w:rPr>
                <w:sz w:val="1"/>
                <w:szCs w:val="1"/>
                <w:color w:val="auto"/>
              </w:rPr>
            </w:pP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Enviri Corporation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29"/>
        </w:trPr>
        <w:tc>
          <w:tcPr>
            <w:tcW w:w="8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r>
      <w:tr>
        <w:trPr>
          <w:trHeight w:val="230"/>
        </w:trPr>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r>
      <w:tr>
        <w:trPr>
          <w:trHeight w:val="229"/>
        </w:trPr>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29"/>
        </w:trPr>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 (income) loss of unconsolidated entities,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29"/>
        </w:trPr>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dispositions of businesses: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w:t>
            </w:r>
          </w:p>
        </w:tc>
      </w:tr>
      <w:tr>
        <w:trPr>
          <w:trHeight w:val="230"/>
        </w:trPr>
        <w:tc>
          <w:tcPr>
            <w:tcW w:w="8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29"/>
        </w:trPr>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29"/>
        </w:trPr>
        <w:tc>
          <w:tcPr>
            <w:tcW w:w="8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r>
      <w:tr>
        <w:trPr>
          <w:trHeight w:val="230"/>
        </w:trPr>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29"/>
        </w:trPr>
        <w:tc>
          <w:tcPr>
            <w:tcW w:w="8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r>
      <w:tr>
        <w:trPr>
          <w:trHeight w:val="230"/>
        </w:trPr>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Advances on contracts and other customer advances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w:t>
            </w:r>
          </w:p>
        </w:tc>
      </w:tr>
      <w:tr>
        <w:trPr>
          <w:trHeight w:val="229"/>
        </w:trPr>
        <w:tc>
          <w:tcPr>
            <w:tcW w:w="8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229"/>
        </w:trPr>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Retirement plan liabilities,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30"/>
        </w:trPr>
        <w:tc>
          <w:tcPr>
            <w:tcW w:w="8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r>
      <w:tr>
        <w:trPr>
          <w:trHeight w:val="223"/>
        </w:trPr>
        <w:tc>
          <w:tcPr>
            <w:tcW w:w="83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provided by operating activities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0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(21,624)</w:t>
            </w:r>
          </w:p>
        </w:tc>
      </w:tr>
      <w:tr>
        <w:trPr>
          <w:trHeight w:val="230"/>
        </w:trPr>
        <w:tc>
          <w:tcPr>
            <w:tcW w:w="8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Expenditures for intangible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(payments) from settlement of foreign currency forward exchange contracts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83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r>
      <w:tr>
        <w:trPr>
          <w:trHeight w:val="20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30"/>
        </w:trPr>
        <w:tc>
          <w:tcPr>
            <w:tcW w:w="8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and repayments under Revolving Credit Facility,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Repayments of Term Loan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8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finance leases and other long-term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 Employee taxes paid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3"/>
        </w:trPr>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26,127</w:t>
            </w:r>
          </w:p>
        </w:tc>
      </w:tr>
      <w:tr>
        <w:trPr>
          <w:trHeight w:val="223"/>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including restricted cash</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r>
      <w:tr>
        <w:trPr>
          <w:trHeight w:val="229"/>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90,158</w:t>
            </w: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including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63"/>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29"/>
        </w:trPr>
        <w:tc>
          <w:tcPr>
            <w:tcW w:w="9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 reported in the Condensed Consolidated Balance Sheets: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w:t>
            </w:r>
          </w:p>
        </w:tc>
      </w:tr>
      <w:tr>
        <w:trPr>
          <w:trHeight w:val="230"/>
        </w:trPr>
        <w:tc>
          <w:tcPr>
            <w:tcW w:w="8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104,429</w:t>
            </w:r>
          </w:p>
        </w:tc>
      </w:tr>
      <w:tr>
        <w:trPr>
          <w:trHeight w:val="21"/>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3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Enviri Corporation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33655</wp:posOffset>
            </wp:positionV>
            <wp:extent cx="3197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4"/>
                <w:szCs w:val="4"/>
                <w:color w:val="auto"/>
              </w:rPr>
            </w:pPr>
          </w:p>
        </w:tc>
        <w:tc>
          <w:tcPr>
            <w:tcW w:w="12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40" w:type="dxa"/>
            <w:vAlign w:val="bottom"/>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4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(851,881)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255,102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1,378,835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(537,385)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8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other comprehensive income (loss), net of deferred</w:t>
            </w:r>
          </w:p>
        </w:tc>
        <w:tc>
          <w:tcPr>
            <w:tcW w:w="14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7,747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of $2,487</w:t>
            </w:r>
          </w:p>
        </w:tc>
        <w:tc>
          <w:tcPr>
            <w:tcW w:w="14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Vesting of restricted stock units and other stock grants, net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284,643 shares</w:t>
            </w: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performance share units, net 14,860 shares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Amortization of unearned stock-based compensation, net of</w:t>
            </w:r>
          </w:p>
        </w:tc>
        <w:tc>
          <w:tcPr>
            <w:tcW w:w="14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1,369,822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(529,638)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3"/>
          </w:tcPr>
          <w:p>
            <w:pPr>
              <w:ind w:left="240"/>
              <w:spacing w:after="0"/>
              <w:rPr>
                <w:sz w:val="20"/>
                <w:szCs w:val="20"/>
                <w:color w:val="auto"/>
              </w:rPr>
            </w:pPr>
            <w:r>
              <w:rPr>
                <w:rFonts w:ascii="Times New Roman" w:cs="Times New Roman" w:eastAsia="Times New Roman" w:hAnsi="Times New Roman"/>
                <w:sz w:val="14"/>
                <w:szCs w:val="14"/>
                <w:b w:val="1"/>
                <w:bCs w:val="1"/>
                <w:color w:val="auto"/>
              </w:rPr>
              <w:t>Enviri Corporation Stockholders’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9"/>
                <w:szCs w:val="9"/>
                <w:color w:val="auto"/>
              </w:rPr>
            </w:pPr>
          </w:p>
        </w:tc>
        <w:tc>
          <w:tcPr>
            <w:tcW w:w="1200" w:type="dxa"/>
            <w:vAlign w:val="bottom"/>
            <w:gridSpan w:val="4"/>
          </w:tcPr>
          <w:p>
            <w:pPr>
              <w:jc w:val="right"/>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4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149,519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(864,646)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273,436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1,211,234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(514,481)</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40,525</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295,587</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(10,665)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(9,538)</w:t>
            </w:r>
          </w:p>
        </w:tc>
        <w:tc>
          <w:tcPr>
            <w:tcW w:w="0" w:type="dxa"/>
            <w:vAlign w:val="bottom"/>
          </w:tcPr>
          <w:p>
            <w:pPr>
              <w:spacing w:after="0"/>
              <w:rPr>
                <w:sz w:val="1"/>
                <w:szCs w:val="1"/>
                <w:color w:val="auto"/>
              </w:rPr>
            </w:pPr>
          </w:p>
        </w:tc>
      </w:tr>
      <w:tr>
        <w:trPr>
          <w:trHeight w:val="146"/>
        </w:trPr>
        <w:tc>
          <w:tcPr>
            <w:tcW w:w="386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Total other comprehensive income (loss), net of deferred</w:t>
            </w:r>
          </w:p>
        </w:tc>
        <w:tc>
          <w:tcPr>
            <w:tcW w:w="14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of $(2,006)</w:t>
            </w:r>
          </w:p>
        </w:tc>
        <w:tc>
          <w:tcPr>
            <w:tcW w:w="14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appreciation rights exercised, net 102,264 shares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21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 net 427,651 shares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95"/>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Vesting of performance share units, net 726,189 shares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(10,837)</w:t>
            </w:r>
          </w:p>
        </w:tc>
        <w:tc>
          <w:tcPr>
            <w:tcW w:w="0" w:type="dxa"/>
            <w:vAlign w:val="bottom"/>
          </w:tcPr>
          <w:p>
            <w:pPr>
              <w:spacing w:after="0"/>
              <w:rPr>
                <w:sz w:val="1"/>
                <w:szCs w:val="1"/>
                <w:color w:val="auto"/>
              </w:rPr>
            </w:pPr>
          </w:p>
        </w:tc>
      </w:tr>
      <w:tr>
        <w:trPr>
          <w:trHeight w:val="146"/>
        </w:trPr>
        <w:tc>
          <w:tcPr>
            <w:tcW w:w="386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Amortization of unearned stock-based compensation, net of</w:t>
            </w:r>
          </w:p>
        </w:tc>
        <w:tc>
          <w:tcPr>
            <w:tcW w:w="14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Balances,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152,334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(882,901)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272,950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1,200,569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(509,773)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41,732</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274,911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prepared these unaudited condensed consolidated financial statements in accordance with U.S. GAAP for interim financial information and with the instructions to Form 10-Q and Rule 10-01 of Regulation S-X of the SEC. Accordingly, the unaudited Condensed Consolidated Financial Statements do not include all information and disclosure required by U.S. GAAP for annual financial statements. The December 31, 2025 Condensed Consolidated Balance Sheet information contained in this Quarterly Report on Form 10-Q was derived from the 2025 audited consolidated financial statements. These unaudited Condensed Consolidated Financial Statements should be read in conjunction with the audited Consolidated Financial Statements, including the notes thereto, included in New Enviri's Information Statement (the "Information Statement"), dated May 8, 2026, attached as Exhibit 99.1 to New Enviri's Current Report on Form 8-K furnished to the SEC on May 11, 2026. In the opinion of management, all adjustments (all of which are of a normal recurring nature) that are necessary for a fair statement are reflected in these unaudited Condensed Consolidated Financial Statements.</w:t>
      </w:r>
    </w:p>
    <w:p>
      <w:pPr>
        <w:spacing w:after="0" w:line="229"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18"/>
          <w:szCs w:val="18"/>
          <w:color w:val="auto"/>
        </w:rPr>
        <w:t>As used in this section, the term the “Company” means Enviri Corporation, a Delaware corporation, and its direct and indirect subsidiaries prior to the completion of the Holding Company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cash flow forecasts, existing cash and cash equivalents, borrowings available under the Senior Secured Credit Facilities and the AR Facility indicate sufficient liquidity to fund the Company’s operations for at least the next twelve months. As such, the Company’s unaudited Consolidated Financial Statements have been prepared on the basis that it will continue as a going concern for a period extending beyond twelve months from the date the unaudited Consolidated Financial Statements are issued. This assessment includes the expected ability to meet required financial covenants and the continued ability to draw down on the Senior Secured Credit Facilities (see Note 8, Debt and Credit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management identified certain errors related to the measurement of certain aspects of the defined benefit pension obligation associated with the U.K. pension plan (the “Plan”) administered by the Company. The errors related to the historic application of certain provisions governing pension benefits in the actuarial estimation of the liabilities for certain acquired pension plans merged into the Plan. The errors were identified by the Company during a review of the Plan in preparation for the potential buy-out of the Plan’s liabilities by an insurance company.</w:t>
      </w:r>
    </w:p>
    <w:p>
      <w:pPr>
        <w:spacing w:after="0" w:line="18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Management evaluated the identified errors in accordance with ASC 250, Accounting Changes and Error Corrections, and applicable SEC guidance, including SAB 99, considering both quantitative and qualitative factors. Management concluded that the errors were not material to the Company’s previously issued consolidated financial statements for any individual period. However, due to the cumulative impact of these errors, the Company revised the prior-period financial statements.</w:t>
      </w:r>
    </w:p>
    <w:p>
      <w:pPr>
        <w:spacing w:after="0" w:line="21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revisions primarily affected Retirement plan assets and Retained earnings with corresponding impacts to Defined benefit pension income (expense) and Accumulated other comprehensive income (loss). In connection with the revision, the Company also corrected other previously identified immaterial errors. The revision did not impact the Company’s previously reported net cash flows or compliance with debt covenants.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revising the Condensed Consolidated Statements of Operations for the period presented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58"/>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20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Revision</w:t>
            </w:r>
          </w:p>
        </w:tc>
        <w:tc>
          <w:tcPr>
            <w:tcW w:w="160" w:type="dxa"/>
            <w:vAlign w:val="bottom"/>
          </w:tcPr>
          <w:p>
            <w:pPr>
              <w:spacing w:after="0"/>
              <w:rPr>
                <w:sz w:val="13"/>
                <w:szCs w:val="13"/>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0" w:type="dxa"/>
            <w:vAlign w:val="bottom"/>
          </w:tcPr>
          <w:p>
            <w:pPr>
              <w:spacing w:after="0"/>
              <w:rPr>
                <w:sz w:val="1"/>
                <w:szCs w:val="1"/>
                <w:color w:val="auto"/>
              </w:rPr>
            </w:pPr>
          </w:p>
        </w:tc>
      </w:tr>
      <w:tr>
        <w:trPr>
          <w:trHeight w:val="214"/>
        </w:trPr>
        <w:tc>
          <w:tcPr>
            <w:tcW w:w="7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from continuing operations:</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476,840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476,463</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548,284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547,907</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 from continuing operations: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51,361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52,378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517,629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518,646</w:t>
            </w:r>
          </w:p>
        </w:tc>
        <w:tc>
          <w:tcPr>
            <w:tcW w:w="0" w:type="dxa"/>
            <w:vAlign w:val="bottom"/>
          </w:tcPr>
          <w:p>
            <w:pPr>
              <w:spacing w:after="0"/>
              <w:rPr>
                <w:sz w:val="1"/>
                <w:szCs w:val="1"/>
                <w:color w:val="auto"/>
              </w:rPr>
            </w:pPr>
          </w:p>
        </w:tc>
      </w:tr>
      <w:tr>
        <w:trPr>
          <w:trHeight w:val="207"/>
        </w:trPr>
        <w:tc>
          <w:tcPr>
            <w:tcW w:w="74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Operating income (loss) from continuing operations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Defined benefit pension income (expense)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 and equity in 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 from continuing operations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Enviri Corporation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Enviri Corporation common stockholders: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2"/>
        </w:trPr>
        <w:tc>
          <w:tcPr>
            <w:tcW w:w="74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Net income (loss) attributable to Enviri Corporation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earnings (loss) per share attributable to Enviri Corporation common stockholders: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(loss) per share attributable to Enviri Corporation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earnings (loss) per share attributable to Enviri Corporation common stockholders: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share attributable to Enviri Corporation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280" w:firstLine="8"/>
        <w:spacing w:after="0" w:line="280" w:lineRule="auto"/>
        <w:tabs>
          <w:tab w:leader="none" w:pos="2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(loss) per share attributable to Enviri Corporation common stockholders is calculated based on actual amounts. As a result, these per share amounts may not total due to rounding.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revising the Condensed Consolidated Statements of Comprehensive Income (Loss) for the period presented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58"/>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20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Revision</w:t>
            </w:r>
          </w:p>
        </w:tc>
        <w:tc>
          <w:tcPr>
            <w:tcW w:w="160" w:type="dxa"/>
            <w:vAlign w:val="bottom"/>
          </w:tcPr>
          <w:p>
            <w:pPr>
              <w:spacing w:after="0"/>
              <w:rPr>
                <w:sz w:val="13"/>
                <w:szCs w:val="13"/>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0" w:type="dxa"/>
            <w:vAlign w:val="bottom"/>
          </w:tcPr>
          <w:p>
            <w:pPr>
              <w:spacing w:after="0"/>
              <w:rPr>
                <w:sz w:val="1"/>
                <w:szCs w:val="1"/>
                <w:color w:val="auto"/>
              </w:rPr>
            </w:pPr>
          </w:p>
        </w:tc>
      </w:tr>
      <w:tr>
        <w:trPr>
          <w:trHeight w:val="214"/>
        </w:trPr>
        <w:tc>
          <w:tcPr>
            <w:tcW w:w="7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0" w:type="dxa"/>
            <w:vAlign w:val="bottom"/>
          </w:tcPr>
          <w:p>
            <w:pPr>
              <w:spacing w:after="0"/>
              <w:rPr>
                <w:sz w:val="1"/>
                <w:szCs w:val="1"/>
                <w:color w:val="auto"/>
              </w:rPr>
            </w:pPr>
          </w:p>
        </w:tc>
      </w:tr>
      <w:tr>
        <w:trPr>
          <w:trHeight w:val="19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 net of deferred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Pension liability adjustment, net of deferred taxes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0" w:type="dxa"/>
            <w:vAlign w:val="bottom"/>
          </w:tcPr>
          <w:p>
            <w:pPr>
              <w:spacing w:after="0"/>
              <w:rPr>
                <w:sz w:val="1"/>
                <w:szCs w:val="1"/>
                <w:color w:val="auto"/>
              </w:rPr>
            </w:pPr>
          </w:p>
        </w:tc>
      </w:tr>
      <w:tr>
        <w:trPr>
          <w:trHeight w:val="20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Enviri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revising the Condensed Consolidated Statements of Cash Flows for the period presented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58"/>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20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Revision</w:t>
            </w:r>
          </w:p>
        </w:tc>
        <w:tc>
          <w:tcPr>
            <w:tcW w:w="160" w:type="dxa"/>
            <w:vAlign w:val="bottom"/>
          </w:tcPr>
          <w:p>
            <w:pPr>
              <w:spacing w:after="0"/>
              <w:rPr>
                <w:sz w:val="13"/>
                <w:szCs w:val="13"/>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0" w:type="dxa"/>
            <w:vAlign w:val="bottom"/>
          </w:tcPr>
          <w:p>
            <w:pPr>
              <w:spacing w:after="0"/>
              <w:rPr>
                <w:sz w:val="1"/>
                <w:szCs w:val="1"/>
                <w:color w:val="auto"/>
              </w:rPr>
            </w:pPr>
          </w:p>
        </w:tc>
      </w:tr>
      <w:tr>
        <w:trPr>
          <w:trHeight w:val="214"/>
        </w:trPr>
        <w:tc>
          <w:tcPr>
            <w:tcW w:w="7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0" w:type="dxa"/>
            <w:vAlign w:val="bottom"/>
          </w:tcPr>
          <w:p>
            <w:pPr>
              <w:spacing w:after="0"/>
              <w:rPr>
                <w:sz w:val="1"/>
                <w:szCs w:val="1"/>
                <w:color w:val="auto"/>
              </w:rPr>
            </w:pPr>
          </w:p>
        </w:tc>
      </w:tr>
      <w:tr>
        <w:trPr>
          <w:trHeight w:val="213"/>
        </w:trPr>
        <w:tc>
          <w:tcPr>
            <w:tcW w:w="7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dispositions of businesses: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w:t>
            </w:r>
          </w:p>
        </w:tc>
        <w:tc>
          <w:tcPr>
            <w:tcW w:w="0" w:type="dxa"/>
            <w:vAlign w:val="bottom"/>
          </w:tcPr>
          <w:p>
            <w:pPr>
              <w:spacing w:after="0"/>
              <w:rPr>
                <w:sz w:val="1"/>
                <w:szCs w:val="1"/>
                <w:color w:val="auto"/>
              </w:rPr>
            </w:pPr>
          </w:p>
        </w:tc>
      </w:tr>
      <w:tr>
        <w:trPr>
          <w:trHeight w:val="213"/>
        </w:trPr>
        <w:tc>
          <w:tcPr>
            <w:tcW w:w="74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Retirement plan liabilities,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(used)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207"/>
        </w:trPr>
        <w:tc>
          <w:tcPr>
            <w:tcW w:w="7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used by investing activities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(used)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26,127</w:t>
            </w:r>
          </w:p>
        </w:tc>
        <w:tc>
          <w:tcPr>
            <w:tcW w:w="0" w:type="dxa"/>
            <w:vAlign w:val="bottom"/>
          </w:tcPr>
          <w:p>
            <w:pPr>
              <w:spacing w:after="0"/>
              <w:rPr>
                <w:sz w:val="1"/>
                <w:szCs w:val="1"/>
                <w:color w:val="auto"/>
              </w:rPr>
            </w:pPr>
          </w:p>
        </w:tc>
      </w:tr>
      <w:tr>
        <w:trPr>
          <w:trHeight w:val="20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including restricted cash</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including restricted cash</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including restricted cash, at beginning of period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90,158</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revising the Condensed Consolidated Statements of Equity for all periods presented is as follows: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42" w:lineRule="exact"/>
        <w:rPr>
          <w:sz w:val="20"/>
          <w:szCs w:val="20"/>
          <w:color w:val="auto"/>
        </w:rPr>
      </w:pPr>
    </w:p>
    <w:p>
      <w:pPr>
        <w:ind w:left="20" w:right="160"/>
        <w:spacing w:after="0" w:line="251" w:lineRule="auto"/>
        <w:rPr>
          <w:sz w:val="20"/>
          <w:szCs w:val="20"/>
          <w:color w:val="auto"/>
        </w:rPr>
      </w:pPr>
      <w:r>
        <w:rPr>
          <w:rFonts w:ascii="Times New Roman" w:cs="Times New Roman" w:eastAsia="Times New Roman" w:hAnsi="Times New Roman"/>
          <w:sz w:val="14"/>
          <w:szCs w:val="14"/>
          <w:color w:val="auto"/>
        </w:rPr>
        <w:t>Total other comprehensive income (loss), net of deferred income taxes of $2,487</w:t>
      </w:r>
    </w:p>
    <w:p>
      <w:pPr>
        <w:spacing w:after="0" w:line="1" w:lineRule="exact"/>
        <w:rPr>
          <w:sz w:val="20"/>
          <w:szCs w:val="20"/>
          <w:color w:val="auto"/>
        </w:rPr>
      </w:pPr>
    </w:p>
    <w:p>
      <w:pPr>
        <w:ind w:left="20" w:right="60"/>
        <w:spacing w:after="0" w:line="251" w:lineRule="auto"/>
        <w:rPr>
          <w:sz w:val="20"/>
          <w:szCs w:val="20"/>
          <w:color w:val="auto"/>
        </w:rPr>
      </w:pPr>
      <w:r>
        <w:rPr>
          <w:rFonts w:ascii="Times New Roman" w:cs="Times New Roman" w:eastAsia="Times New Roman" w:hAnsi="Times New Roman"/>
          <w:sz w:val="14"/>
          <w:szCs w:val="14"/>
          <w:color w:val="auto"/>
        </w:rPr>
        <w:t>Vesting of restricted stock units and other stock grants, net 284,643 shares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performance share units, net 14,860 shares</w:t>
      </w:r>
    </w:p>
    <w:p>
      <w:pPr>
        <w:spacing w:after="0" w:line="42"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Amortization of unearned stock-based compensation, net of forfeitures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p>
      <w:pPr>
        <w:spacing w:after="0" w:line="42" w:lineRule="exact"/>
        <w:rPr>
          <w:sz w:val="20"/>
          <w:szCs w:val="20"/>
          <w:color w:val="auto"/>
        </w:rPr>
      </w:pPr>
    </w:p>
    <w:p>
      <w:pPr>
        <w:ind w:left="20" w:right="320"/>
        <w:spacing w:after="0" w:line="301" w:lineRule="auto"/>
        <w:rPr>
          <w:sz w:val="20"/>
          <w:szCs w:val="20"/>
          <w:color w:val="auto"/>
        </w:rPr>
      </w:pPr>
      <w:r>
        <w:rPr>
          <w:rFonts w:ascii="Times New Roman" w:cs="Times New Roman" w:eastAsia="Times New Roman" w:hAnsi="Times New Roman"/>
          <w:sz w:val="14"/>
          <w:szCs w:val="14"/>
          <w:color w:val="auto"/>
        </w:rPr>
        <w:t>Vesting of restricted stock units and other stock grants Vesting of performance share units</w:t>
      </w:r>
    </w:p>
    <w:p>
      <w:pPr>
        <w:spacing w:after="0" w:line="1"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Amortization of unearned stock-based compensation, net of forfeitures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March 31, 2025</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As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7059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Enviri Corporation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231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4"/>
                <w:szCs w:val="4"/>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0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146,844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(851,881)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255,102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1,400,347</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(538,964)</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(12,195)</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147,515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(853,360)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258,475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1,386,951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(530,613)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448,687</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11"/>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Enviri Corporation Stockholders’ 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4"/>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0"/>
                <w:szCs w:val="10"/>
                <w:color w:val="auto"/>
              </w:rPr>
            </w:pPr>
          </w:p>
        </w:tc>
        <w:tc>
          <w:tcPr>
            <w:tcW w:w="92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-2716530</wp:posOffset>
            </wp:positionV>
            <wp:extent cx="71323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-2287905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-1945005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-2982595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-770890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-513715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-170815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-1036955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360"/>
            <w:col w:w="7420"/>
          </w:cols>
          <w:pgMar w:left="320" w:top="11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42" w:lineRule="exact"/>
        <w:rPr>
          <w:sz w:val="20"/>
          <w:szCs w:val="20"/>
          <w:color w:val="auto"/>
        </w:rPr>
      </w:pPr>
    </w:p>
    <w:p>
      <w:pPr>
        <w:ind w:left="20" w:right="160"/>
        <w:spacing w:after="0" w:line="251" w:lineRule="auto"/>
        <w:rPr>
          <w:sz w:val="20"/>
          <w:szCs w:val="20"/>
          <w:color w:val="auto"/>
        </w:rPr>
      </w:pPr>
      <w:r>
        <w:rPr>
          <w:rFonts w:ascii="Times New Roman" w:cs="Times New Roman" w:eastAsia="Times New Roman" w:hAnsi="Times New Roman"/>
          <w:sz w:val="14"/>
          <w:szCs w:val="14"/>
          <w:color w:val="auto"/>
        </w:rPr>
        <w:t>Total other comprehensive income (loss), net of deferred income taxes of $2,487</w:t>
      </w:r>
    </w:p>
    <w:p>
      <w:pPr>
        <w:spacing w:after="0" w:line="1" w:lineRule="exact"/>
        <w:rPr>
          <w:sz w:val="20"/>
          <w:szCs w:val="20"/>
          <w:color w:val="auto"/>
        </w:rPr>
      </w:pPr>
    </w:p>
    <w:p>
      <w:pPr>
        <w:ind w:left="20" w:right="60"/>
        <w:spacing w:after="0" w:line="251" w:lineRule="auto"/>
        <w:rPr>
          <w:sz w:val="20"/>
          <w:szCs w:val="20"/>
          <w:color w:val="auto"/>
        </w:rPr>
      </w:pPr>
      <w:r>
        <w:rPr>
          <w:rFonts w:ascii="Times New Roman" w:cs="Times New Roman" w:eastAsia="Times New Roman" w:hAnsi="Times New Roman"/>
          <w:sz w:val="14"/>
          <w:szCs w:val="14"/>
          <w:color w:val="auto"/>
        </w:rPr>
        <w:t>Vesting of restricted stock units and other stock grants, net 284,643 shares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performance share units, net 14,860 shares</w:t>
      </w:r>
    </w:p>
    <w:p>
      <w:pPr>
        <w:spacing w:after="0" w:line="42"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Amortization of unearned stock-based compensation, net of forfeitures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As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7059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Enviri Corporation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231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146,844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(851,881)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255,102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1,378,835</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(537,385)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429,666</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147,515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(853,360)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258,475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1,369,822</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(529,638)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432,533</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-942340</wp:posOffset>
            </wp:positionV>
            <wp:extent cx="71323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-513715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-170815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-1207770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360"/>
            <w:col w:w="7420"/>
          </w:cols>
          <w:pgMar w:left="320" w:top="114" w:right="339" w:bottom="1440" w:gutter="0" w:footer="0" w:header="0"/>
        </w:sectPr>
      </w:pPr>
    </w:p>
    <w:p>
      <w:pPr>
        <w:spacing w:after="0" w:line="8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were adopted during the three months ended March 31, 2026:</w:t>
      </w:r>
    </w:p>
    <w:p>
      <w:pPr>
        <w:spacing w:after="0" w:line="26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adopted a change issued by the FASB that provides an optional practical expedient for estimating future credit losses on current accounts receivable and current contract assets that arise from certain contracts with customers. The adoption of this change did not have a material impact on the Company's financial statements.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adopted changes issued by the FASB, which required greater disaggregation of income tax disclosures, related to the income tax rate reconciliation and income taxes paid for each annual reporting period. The Company applied the new disclosure requirements prospectively to its annual report for the year ended December 31, 2025.The adoption of these changes did not have a material impact on the Company's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have been issued and become effective for the Company at a future date:</w:t>
      </w:r>
    </w:p>
    <w:p>
      <w:pPr>
        <w:spacing w:after="0" w:line="2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an update that provides authoritative guidance on the recognition, measurement and presentation of government grants received by business entities. This update defines government grants and establishes recognition criteria and disclosure requirements. This update becomes effective starting with the Company's annual financial statements for the year ended December 31, 2028 and includes the interim periods within each annual reporting period. Early adoption is permitted. The Company is currently evaluating the impact that this update will have on the Company's financial statements.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changes which require disaggregated disclosure of income statement expenses within the footnotes to the financial statement for each interim and annual reporting period. The changes become effective starting with the Company's annual financial statements for the year ended December 31, 2027 and will be in effect for the Company's interim financial statements after December 31, 2027. The guidance should be applied on a prospective basis with the option to apply the standard retrospectively. Early adoption is permitted. The Company is currently evaluating the impact that this change will have on the Company's disclosures.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Trade Accounts Receivables and Other receivables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Trade accounts receivable, net</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285,516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267,439</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14"/>
                <w:szCs w:val="14"/>
                <w:color w:val="auto"/>
              </w:rPr>
              <w:t>(a)</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40,328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46,930</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Other receivables include employee receivables, insurance receivable, tax claims and refunds and other miscellaneous items not included in Trade accounts receivable, net.</w:t>
      </w:r>
    </w:p>
    <w:p>
      <w:pPr>
        <w:sectPr>
          <w:pgSz w:w="11900" w:h="16838" w:orient="portrait"/>
          <w:cols w:equalWidth="0" w:num="1">
            <w:col w:w="112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provision for expected credit losses related to trade accounts receivable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provision for expected credit losses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March 31, 2026, $8.3 million of the Company's trade accounts receivable were past due by twelve months or more, with $6.0 million of this amount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 Facility</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June 2022, the Company and its SPE entered into an AR Facility with PNC Bank, National Association ("PNC") to accelerate cash flows from trade accounts receivable. On October 1, 2024, the Company renewed the AR Facility for a three-year term expiring in October 2027. The maximum purchase commitment by PNC was $160.0 million, as amended in February 2025.</w:t>
      </w:r>
    </w:p>
    <w:p>
      <w:pPr>
        <w:spacing w:after="0" w:line="21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total outstanding balance of trade receivables that have been sold and derecognized by the SPE was $160.0 million as of March 31, 2026 and December 31, 2025. The SPE owned $57.9 million and $47.5 million of trade receivables as of March 31, 2026 and December 31, 2025, respectively, which is included in the caption Trade accounts receivable, net, on the Condensed Consolidated Balance Sheets.</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 proceeds were received from the AR Facility during the three months ended March 31, 2026. The Company received proceeds of $10.0 million during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Factoring Arrangements</w:t>
      </w:r>
    </w:p>
    <w:p>
      <w:pPr>
        <w:spacing w:after="0" w:line="3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The Company maintains factoring arrangements with a financial institution to sell certain accounts receivable that are also accounted for as a sale of financial assets. The following table reflects balances for net amounts sold and program capacities for the arrangements:</w:t>
      </w:r>
    </w:p>
    <w:tbl>
      <w:tblPr>
        <w:tblLayout w:type="fixed"/>
        <w:tblInd w:w="20" w:type="dxa"/>
        <w:tblCellMar>
          <w:top w:w="0" w:type="dxa"/>
          <w:left w:w="0" w:type="dxa"/>
          <w:bottom w:w="0" w:type="dxa"/>
          <w:right w:w="0" w:type="dxa"/>
        </w:tblCellMar>
      </w:tblPr>
      <w:tr>
        <w:trPr>
          <w:trHeight w:val="15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980" w:type="dxa"/>
            <w:vAlign w:val="bottom"/>
          </w:tcPr>
          <w:p>
            <w:pPr>
              <w:jc w:val="center"/>
              <w:ind w:left="35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49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sold under factoring arrangements</w:t>
            </w:r>
          </w:p>
        </w:tc>
        <w:tc>
          <w:tcPr>
            <w:tcW w:w="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20.0</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right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16.4</w:t>
            </w:r>
          </w:p>
        </w:tc>
        <w:tc>
          <w:tcPr>
            <w:tcW w:w="0" w:type="dxa"/>
            <w:vAlign w:val="bottom"/>
          </w:tcPr>
          <w:p>
            <w:pPr>
              <w:spacing w:after="0"/>
              <w:rPr>
                <w:sz w:val="1"/>
                <w:szCs w:val="1"/>
                <w:color w:val="auto"/>
              </w:rPr>
            </w:pPr>
          </w:p>
        </w:tc>
      </w:tr>
      <w:tr>
        <w:trPr>
          <w:trHeight w:val="238"/>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Program capacities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20.6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21.1</w:t>
            </w:r>
          </w:p>
        </w:tc>
        <w:tc>
          <w:tcPr>
            <w:tcW w:w="0" w:type="dxa"/>
            <w:vAlign w:val="bottom"/>
          </w:tcPr>
          <w:p>
            <w:pPr>
              <w:spacing w:after="0"/>
              <w:rPr>
                <w:sz w:val="1"/>
                <w:szCs w:val="1"/>
                <w:color w:val="auto"/>
              </w:rPr>
            </w:pPr>
          </w:p>
        </w:tc>
      </w:tr>
      <w:tr>
        <w:trPr>
          <w:trHeight w:val="78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3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3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Stores and supplies</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48,197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48,756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173,276</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180,548</w:t>
            </w:r>
          </w:p>
        </w:tc>
        <w:tc>
          <w:tcPr>
            <w:tcW w:w="3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6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40" w:type="dxa"/>
            <w:vAlign w:val="bottom"/>
            <w:vMerge w:val="continue"/>
          </w:tcPr>
          <w:p>
            <w:pPr>
              <w:spacing w:after="0"/>
              <w:rPr>
                <w:sz w:val="24"/>
                <w:szCs w:val="24"/>
                <w:color w:val="auto"/>
              </w:rPr>
            </w:pPr>
          </w:p>
        </w:tc>
        <w:tc>
          <w:tcPr>
            <w:tcW w:w="76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PP&amp;E consist of the following: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9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97,718</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254,336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250,452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1,723,342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1,731,009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Uncompleted construction</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52,130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47,837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2,127,526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2,124,622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(1,437,435)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(1,424,958)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690,091</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699,664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9"/>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expense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right="20" w:firstLine="8"/>
        <w:spacing w:after="0" w:line="280" w:lineRule="auto"/>
        <w:tabs>
          <w:tab w:leader="none" w:pos="24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19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7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annually, or more frequently if indicators of impairment exist, or if a decision is made to dispose of a business. The Company performs its annual goodwill impairment test as of October 1 and monitors for triggering events on an ongoing basis.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determined that there were no events or indicators present that would indicate that it was more-likely-than-not that its reporting units' fair values were less than their carrying amounts, which would require a further interim impairment analysis. However, unfavorable economic conditions, including tariffs and continued cost inflation, could impact the Company's future projected cash flows and discount rates used to estimate fair value, which could result in an impairment charge to any of the Company's reporting units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and Credit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476,250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5.75% Senior Notes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payable (including finance leases) in varying amounts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1,567,001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obligations, net of deferred financing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1,556,183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1,556,751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1,530,309</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2026, the Company amended its Senior Secured Credit Facilities to extend the maturity date of its $50.0 million non-extended revolving credit facility from March 10, 2026 to the earlier of (i) July 1, 2026 and (ii) the date on which the Company's Clean Earth segment is sold to Veolia in connection with the Company's Merger Agreement.</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2025, the Company entered into an amendment to the Credit Agreement to, among other things, modify certain levels of its total Net Debt to Consolidated Adjusted EBITDA ratio covenant and permit a distribution of the Company’s Clean Earth business, together with certain related transactions, including repayments of certain of the Company's existing indebtedness. The Company obtained the amendment because its forward-looking projections indicated that it may not meet the minimum level required by the net leverage coverage ratio and to allow for the strategic alternatives it is currently evaluating. As a result of this amendment, the total Net Debt to Consolidated Adjusted EBITDA ratio covenant was set to 5.50x for the quarters ended March 31, 2026, June 30, 2026 and September 30, 2026, 5.00x for the quarter ended December 31, 2026 and 4.50x for the quarter ended March 31, 2027. After giving effect to the distribution of the Company’s Clean Earth business, the total Net Debt to Consolidated Adjusted EBITDA ratio covenant will be set at 3.00x. The Company expects that it will maintain compliance with the amended covenants based on current forecasts. The Company capitalized $1.8 million of fees incurred related to the amendment.</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2025, the Company entered into an amendment to the Credit Agreement to reset the levels of its covenants, among other changes. As a result of this amendment, the total Net Debt to Consolidated Adjusted EBITDA ratio covenant was set to 5.00x for the quarter ended September 30, 2025 and then decreases every six months by 0.25x until reaching 4.00x for the quarter ended June 30, 2027 and thereafter. These covenants were amended as noted in the preceding paragraph. The interest coverage ratio was set to a minimum of 2.50x for each quarter ended after December 31, 2024.</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31, 2026, the Company was in compliance with all covenants for its Senior Secured Credit Facilities, as amended in February 2026, as the total Net Debt to Consolidated Adjusted EBITDA ratio was 4.98x and the total interest coverage ratio was 2.78x. Based on balances and covenants in effect at March 31, 2026, the Company could increase Net Debt by $156.9 million and still be in compliance with these debt covenants. Alternatively, Consolidated Adjusted EBITDA could decrease by $28.5 million or interest expense could increase by $11.9 million and the Company would remain in compliance with these covenants.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believes it will continue to maintain compliance with these amended covenants based on its current outlook. However, the Company's estimates of compliance with these covenants could change in the future with a deterioration in economic conditions including softness in certain markets, changes to tariffs, higher than forecasted interest rate increases, the timing of working capital including the collection of receivables, an inability to realize increased pricing and implement cost reduction initiatives that mitigate the impacts of inflation and other factors that may adversely impact its compliance with covenants.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Fees and Debt-Related Income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Condensed Consolidated Statements of Operations caption Facility fees and debt-related income (expense) were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8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80" w:type="dxa"/>
            <w:vAlign w:val="bottom"/>
            <w:vMerge w:val="continue"/>
          </w:tcPr>
          <w:p>
            <w:pPr>
              <w:spacing w:after="0"/>
              <w:rPr>
                <w:sz w:val="15"/>
                <w:szCs w:val="15"/>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debt commitment and amendment fees</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Securitization and factoring fees</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fees and debt-related income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 Plans Net Periodic Pension Cost (Benefit)</w:t>
            </w: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20" w:type="dxa"/>
            <w:vAlign w:val="bottom"/>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International Plans</w:t>
            </w:r>
          </w:p>
        </w:tc>
        <w:tc>
          <w:tcPr>
            <w:tcW w:w="0" w:type="dxa"/>
            <w:vAlign w:val="bottom"/>
          </w:tcPr>
          <w:p>
            <w:pPr>
              <w:spacing w:after="0"/>
              <w:rPr>
                <w:sz w:val="1"/>
                <w:szCs w:val="1"/>
                <w:color w:val="auto"/>
              </w:rPr>
            </w:pPr>
          </w:p>
        </w:tc>
      </w:tr>
      <w:tr>
        <w:trPr>
          <w:trHeight w:val="19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prior service costs</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net periodic pension cost (benefit)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contributions to U.S. and international defined benefit pension plans totaled $0.4 million and $0.2 million for the three months ended March 31, 2026, respectively. The Company's estimate of expected cash contributions to be paid during the remainder of 2026 for the U.S. and international defined benefit pension plans is $1.2 million and $0.7 million, respectively.</w:t>
      </w:r>
    </w:p>
    <w:p>
      <w:pPr>
        <w:spacing w:after="0" w:line="200" w:lineRule="exact"/>
        <w:rPr>
          <w:sz w:val="20"/>
          <w:szCs w:val="20"/>
          <w:color w:val="auto"/>
        </w:rPr>
      </w:pPr>
    </w:p>
    <w:p>
      <w:pPr>
        <w:spacing w:after="0" w:line="250" w:lineRule="exact"/>
        <w:rPr>
          <w:sz w:val="20"/>
          <w:szCs w:val="20"/>
          <w:color w:val="auto"/>
        </w:rPr>
      </w:pPr>
    </w:p>
    <w:p>
      <w:pPr>
        <w:ind w:firstLine="8"/>
        <w:spacing w:after="0" w:line="280" w:lineRule="auto"/>
        <w:tabs>
          <w:tab w:leader="none" w:pos="2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19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Income tax benefit from continuing operations for the three months ended March 31, 2026 was $24.4 million compared with $2.0 million income tax expense for the three months ended March 31, 2025. The change is primarily due to costs of $12.5 million related to the planned sale of Clean Earth during the three months ended March 31, 2026, which did not occur during the three months ended March 31, 2025, lower operating income in Clean Earth and a $5.1 million tax benefit from the vesting of stock-based compensation awards in 2026.</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reserve for uncertain tax positions on March 31, 2026 and December 31, 2025 was $6.0 million and $6.7 million, respectively, including interest and penalties. Within the next twelve months, it is reasonably possible that $2.0 million in unrecognized income tax benefits will be recognized upon settlement of tax examinations and the expiration of various statutes of limitations.</w:t>
      </w:r>
    </w:p>
    <w:p>
      <w:pPr>
        <w:spacing w:after="0" w:line="200" w:lineRule="exact"/>
        <w:rPr>
          <w:sz w:val="20"/>
          <w:szCs w:val="20"/>
          <w:color w:val="auto"/>
        </w:rPr>
      </w:pPr>
    </w:p>
    <w:p>
      <w:pPr>
        <w:spacing w:after="0" w:line="237" w:lineRule="exact"/>
        <w:rPr>
          <w:sz w:val="20"/>
          <w:szCs w:val="20"/>
          <w:color w:val="auto"/>
        </w:rPr>
      </w:pPr>
    </w:p>
    <w:p>
      <w:pPr>
        <w:ind w:firstLine="8"/>
        <w:spacing w:after="0" w:line="280" w:lineRule="auto"/>
        <w:tabs>
          <w:tab w:leader="none" w:pos="24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is involved in a number of environmental remediation investigations and cleanups and, along with other companies, has been identified as a potentially responsible party ("PRP") for certain byproduct disposal sites. While each of these matters is subject to various uncertainties, it is probable that the Company will agree to make payments toward funding certain of these activities, and it is possible that some of these matters will be decided unfavorably to the Company. The Company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evaluates its liability for future environmental remediation costs on a quarterly basis. Although actual costs to be incurred at identified sites in future periods may vary from the estimates, given inherent uncertainties in evaluating environmental exposures, the Company does not expect that any costs that are reasonably possible to be incurred by the Company in connection with environmental matters in excess of the amounts accrued would have a material adverse effect on the Company's financial condition, results of operations or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location and undiscounted amount of the Company's environmental liabilities: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2"/>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portion of environmental liabilities </w:t>
            </w:r>
            <w:r>
              <w:rPr>
                <w:rFonts w:ascii="Times New Roman" w:cs="Times New Roman" w:eastAsia="Times New Roman" w:hAnsi="Times New Roman"/>
                <w:sz w:val="14"/>
                <w:szCs w:val="14"/>
                <w:color w:val="auto"/>
              </w:rPr>
              <w:t>(a)</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environmental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The current portion of environmental liabilities is included in the caption Other current liabilities on the Condensed Consolidated Balance Sheets.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is a defendant or party to various claims and lawsuits, including those discussed below. Unless stated otherwise below, the Company has not determined a loss to be probable or estimable for the legal proceedings.</w:t>
      </w:r>
    </w:p>
    <w:p>
      <w:pPr>
        <w:spacing w:after="0" w:line="17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On January 27, 2020, the EPA issued a Notice of Potential Liability to the Company, along with several other companies, concerning the Newtown Creek Superfund Site located in Kings and Queens Counties in New York, which alleges certain facilities formerly owned or operated by subsidiaries of the Company may have resulted in the discharge of hazardous substances into Newtown Creek or its Dutch Kills tributary. The site has been subject to CERCLA response activities since approximately 2011. The EPA expects to issue a Record of Decision for the sitewide cleanup plan no sooner than 2028 and announced, in July 2021, that it would defer its decision on a potential early action response for the lower two miles of the Creek until the site-wide studies are completed. On August 28, 2024, the EPA released a proposed plan for clean up of the East Branch portion of Newtown Creek. On January 17, 2025, the EPA released its decision approving this early action remedy for the East Branch. The Company is one of 30 PRPs that have received notices, though it is believed other PRPs may exist. The Company vigorously contests the allegations of this notice and currently does not believe that this matter will have a material effect on the Company’s condensed consolidated financial statements.</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has had ongoing meetings with the SCE over processing salt cakes, a processing byproduct, stored at the Al Hafeerah site. The Company’s Bahrain operations that produced the salt cakes have ceased operations. An Environmental Impact Assessment and Technical Feasibility Study for facilities to process the salt cakes was approved by the SCE during the first quarter of 2018. Commissioning of the facilities was completed during the third quarter of 2021 and the processing of the salt cakes has commenced, with the expectation that the Company would be able to sell the products that resulted from the processing in an amount that would cover the processing costs. During the fourth quarter of 2024, the Company concluded that, despite significant commercial efforts and ongoing discussions with the SCE, it could not sufficiently recover the processing costs from these sales as it had previously estimated and, as such, recorded an additional provision of $27.2 million. During the fourth quarter of 2025, the Company recorded an additional provision of $5.0 million based on the current expected recovery of the processing costs, including the agreement to sell a significant quantity of processed material to a regional buyer. The Company is currently exploring other options to resolve this matter in a cost-effective manner, including engaging certain entities to remove the remaining salt cakes from Bahrain, subject to a suitability analysis. The Company's current reserve of $27.0 million at March 31, 2026 represents the Company's best estimate of the net costs to fully resolve this matter. The Company will continue to evaluate this reserve and any future change in estimated costs which could be material to the Company’s results of operations in any single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On July 27, 2018, Brazil’s Federal and Rio de Janeiro State Public Prosecution Offices (the "MPF" and "MPE", respectively) filed a Civil Public Action against CSN, one of the Company's customers, the Company’s Brazilian subsidiary, the Municipality of Volta Redonda, Brazil, and the Instituto Estadual do Ambiente, the state of Rio de Janeiro's environmental protection agency, seeking the implementation of various measures to limit and reduce the accumulation of customer-owned slag at the site in Brazil. On August 6, 2018, the 3rd Federal Court in Volta Redonda (the "3rd Volta Redonda Court") granted the MPF and MPE an injunction against the defendants requiring, among other things, CSN and the Company’s Brazilian subsidiary to limit the volume of slag sent to the site. Because the customer owns the site and the slag located on the site, the Company believes that complying with this injunction is the steel producer’s responsibility. Nevertheless, the 3rd Volta Redonda Court issued two orders fining the Company and CSN for what it viewed as violations of the injunction. The Company appealed the fines and the underlying injunction and, beginning on March 25, 2022, the 3rd Volta Redonda Court entered a series of orders suspending the litigation proceedings and staying any additional fines and interest accruals while the parties discuss a possible resolution to the matter. The aggregate amount of fines levied against the Company, exclusive of interest, is approximately 32 million Brazilian reais (or approximately $6 million as of March 31, 2026). On October 5, 2024, the 3rd Volta Redonda Court determined that, as of August 1, 2024, the Company was not responsible for complying with the injunction because the Company no longer operates at the site. In May 2025, the authorities issued a settlement proposal in which CSN would perform remediation at the site and pay approximately 264 million Brazilian reais (or approximately $50 million as of March 31, 2026) and the Company would pay approximately 66 million Brazilian reais (or approximately $13 million as of March 31, 2026) for alleged environmental damage. The Company disputes that environmental damage was caused by the accumulation of slag and, as such, does not agree with the proposed payment. The Company and the other parties continue to discuss a potential resolution related to the portion of the authorities' claims that allegedly occurred prior to August 1, 2024. On September 30, 2025, the public prosecutors pursuing the Civil Public Action initiated a criminal proceeding before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Federal Court in Volta Redonda (the "2nd Volta Redonda Court") against CSN and the Company and is seeking 431 million Brazilian reais (or approximately $82 million as of March 31, 2026) from the two companies. A majority of the amount sought in this proceeding is identical to, and overlaps with, the damages sought in the Civil Public Action. The 2nd Volta Redonda Court has accepted the complaint from the public prosecutors, and both CSN and the Company submitted their respective defenses in January 2026. The Company denies that any environmental damage occurred and will defend itself vigorously. Because of multiple defenses available, including that the slag is inert and not harmful to the environment, and that the slag deposits do not belong to it, the Company does not believe that a loss relating to this matter is probable.</w:t>
      </w:r>
    </w:p>
    <w:p>
      <w:pPr>
        <w:spacing w:after="0" w:line="21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October 2021, the Company received a subpoena and two indictments before the Amsterdam District Court in the Netherlands concerning the Company's operations at a customer site in Ijmuiden, Netherlands. The Amsterdam Public Prosecutor’s Office ("APPO") issued two indictments against the Company, alleging violations in connection with dust releases and/or events alleged to have occurred in 2018 through May 2020 at the site. The action cited provisions which permit fines for the alleged infractions and sought €0.1 million in fines with a smaller amount held in abeyance. On February 2, 2022, the APPO announced that it would further investigate residents’ claims related to this matter. On February 25, 2022, the Amsterdam District Court ruled that the Company was liable for only one alleged violation and that this alleged violation was unintentional. The court issued a fine of €5 thousand, to be held in abeyance. Both the Company and the APPO appealed this ruling. On July 19, 2024, the Court of Appeals ruled that the Company was liable for two intentional violations and issued a fine of €25 thousand. Both the Company and the APPO appealed this ruling. On April 23, 2025, the APPO withdrew its appeal of the Court of Appeal's ruling from July 19, 2024 and the Company withdrew its reciprocal appeal on May 8, 2025. As such, the Court of Appeal's July 19, 2024 ruling has become final and binding. The Company is vigorously contesting all allegations against it and is also working with its customer to ensure the control of emissions. The Company has contractual indemnity rights from its customer that it believes will substantially cover any fines or penalties. Due to multiple defenses available to the Company, including that the majority of the alleged issues relate the customer's operations, the Company does not believe a loss is probable or potentially material.</w:t>
      </w:r>
    </w:p>
    <w:p>
      <w:pPr>
        <w:spacing w:after="0" w:line="2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March 22, 2022, the EPA issued a Notice of Intent to File an Administrative Complaint ("NOI") alleging violations of the federal Emergency Planning and Community Right-to-Know Act at the Company’s facilities in Tacoma, WA and Kent, WA. The NOI relates largely to the period when Stericycle owned and operated the sites. The NOI proposes a penalty of $3.0 million. The investigation is ongoing and the Company has recorded a liability of $0.6 million as its best estimate to resolve this matter. Since that time, the EPA has expanded coverage of this matter to additional facilities, but has not provided an update to the proposed penalty to-date. While it is the Company’s position that it has recourse for some or all liabilities, if any, that arise from this matter under the ESOL purchase agreement and representations and warranties insurance policies purchased by the Company, there can be no assurances that the Company’s position will ultimately prevail.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 Investigation</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the Company’s acquisition of ESOL, Stericycle, Inc. notified the Company that the DEA had served an administrative subpoena on Stericycle, Inc. and executed a search warrant at a facility in Rancho Cordova, CA and an administrative inspection warrant at a facility in Indianapolis, IN. The Company has determined that the DEA and the DTSC have launched investigations involving, at least in part, the ESOL business of collecting, transporting, and destroying controlled substances from retail customers that transferred from Stericycle, Inc. to the Company. The Company is cooperating with these inquiries, which relate primarily to the period before the Company owned the ESOL business. Since the acquisition of the ESOL business, the Company has performed a vigorous review of ESOL’s compliance program related to controlled substances and has made material changes to the manner in which controlled substances are transported from retail customers to DEA-registered facilities for destruction. Pursuant to an agreement with Stericycle, the Company has contractual recourse for any material loss the Company has determined may be reasonably possible. On May 29, 2026, the Department of Justice announced a more than $56 million settlement with Stericycle to resolve investigations into its handling of controlled substances between 2015 and 2020. The settlement amounts are assessed against Stericycle and are non-indemnifiable. The Company has not accrued any amounts in respect of these investigations and does not believe a loss is reasonably possible.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Brazilian Tax Dispute</w:t>
      </w:r>
    </w:p>
    <w:p>
      <w:pPr>
        <w:spacing w:after="0" w:line="2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On December 30, 2020, the Company received an assessment from the municipal tax authority in Ipatinga, Brazil, alleging $2.0 million in unpaid service taxes from the period 2015 to 2020. This dispute is currently in the collection action phase of the legal process and the amount assessed includes interest charges that may increase at statutorily determined amounts per month and are assessed on the aggregate amount of the principal and penalties. In addition, while in the collection action phase, the losing party could be subject to a charge to cover statutorily mandated legal fees, which are generally calculated as a percentage of the total assessed amounts due, inclusive of penalty and interest. After calculating the interest and penalties accrued, the Company estimates that the current overall potential liability for this case is approximately $7.6 million as of March 31, 2026. On July 21, 2023, the Company filed the last administrative appeal against the decision that maintained the assessment and a final administrative decision is still pending. Due to the multiple defenses that are available, the Company does not believe a loss is probable and, as a result, no loss provision has been recorded in the Company's Condensed Consolidated Financial Statements and the Company does not expect that any costs that are reasonably possible to be incurred by the Company in connection with this tax dispute would have a material adverse effect on the Company's financial condition, results of operations or cash flows.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its practice of vigorously defending itself against this tax claim under various alternatives, including judicial appeal. The Company will continue to evaluate its potential liability with regard to this claim on a quarterly basis; however, it is not possible to predict the ultimate outcome.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Actions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named as one of many defendants in legal actions in the U.S.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31, 2026, there were approximately 17,000 pending asbestos personal injury actions filed against the Company. The vast majority of these actions were filed in the New York Supreme Court (New York County), of which the majority of such actions were on the Deferred/Inactive Docket created by the New York Supreme Court in December 2002 for all pending and future asbestos actions filed by persons who cannot demonstrate that they have a malignant condition or discernible physical impairment. A relatively small portion of cases are on the Active or In Extremis docket in New York County or on active dockets in other jurisdictions. The complaints in most of those actions generally follow a form that contains a standard demand of significant damages, regardless of the individual plaintiff's alleged medical condition, and without identifying any Company product.</w:t>
      </w:r>
    </w:p>
    <w:p>
      <w:pPr>
        <w:spacing w:after="0" w:line="120"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8"/>
          <w:szCs w:val="18"/>
          <w:color w:val="auto"/>
        </w:rPr>
        <w:t>The Company will continue to vigorously defend against such claims and is confident that it will be successful in doing so. The Company has never been a producer, manufacturer or processor of asbestos fibers. Any asbestos-containing part of a Company product used in the past was purchased from a supplier and the asbestos encapsulated in other materials such that airborne exposure, if it occurred, was not harmful and is not associated with the types of injuries alleged in the pending actions.</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liability insurance coverage under various primary and excess policies that the Company believes will be available, if necessary, to substantially cover any liability that might ultimately be incurred in the asbestos actions referred to above. The costs and expenses of the asbestos actions are being paid by the Company's insurers.</w:t>
      </w:r>
    </w:p>
    <w:p>
      <w:pPr>
        <w:spacing w:after="0" w:line="12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view of the persistence of asbestos litigation in the U.S., the Company expects to continue to receive additional claims in the future. The Company intends to continue its practice of vigorously defending these claims and cases. As of March 31, 2026, the Company has successfully dismissed approximately 28,500 cases by stipulation or summary judgment prior to trial.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It is not possible to predict the ultimate outcome of asbestos-related actions in the U.S. due to the unpredictable nature of this litigation, and no loss provision has been recorded in the Company's condensed consolidated financial statements because a loss contingency is not deemed probable or estimable. Despite this uncertainty, and although results of operations and cash flows for a given period could be adversely affected by asbestos-related actions, the Company does not expect that any costs that are reasonably possible to be incurred by the Company in connection with asbestos litigation would have a material adverse effect on the Company's financial condition, results of operations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6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Company is subject to various other claims and legal proceedings covering a wide range of matters that arose in the ordinary course of business. In the opinion of management, all such matters are adequately covered by insurance or by established reserves, and, if not so covered, are without merit or are of such kind, or involve such amounts, as would not have a material adverse effect on the financial position, results of operations or cash flows of the Company.</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Insurance liabilities are recorded when it is probable that a liability has been incurred for a particular event and the amount of loss associated with the event can be reasonably estimated. Insurance reserves have been estimated based primarily upon actuarial calculations and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differ from those projected by management, changes (either increases or decreases) to insurance reserves may be required and would be recorded through income in the period the change was determined. When a recognized liability has been determined to be covered by third-party insurance, the Company records an insurance claim receivable to reflect the covered liability. Insurance claim receivables are included in Other receivables on the Company's Condensed Consolidated Balance Sheets. See Note 1, Summary of Significant Accounting Policies to the Company's audited consolidated financial statements in the Information Statement, under Accrued Insurance and Loss Reserves,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Reconciliation of Basic and Diluted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9"/>
        </w:trPr>
        <w:tc>
          <w:tcPr>
            <w:tcW w:w="8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Enviri Corporation common stockholders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9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Weighted-average shares outstanding - basic</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82,291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80,331</w:t>
            </w:r>
          </w:p>
        </w:tc>
        <w:tc>
          <w:tcPr>
            <w:tcW w:w="0" w:type="dxa"/>
            <w:vAlign w:val="bottom"/>
          </w:tcPr>
          <w:p>
            <w:pPr>
              <w:spacing w:after="0"/>
              <w:rPr>
                <w:sz w:val="1"/>
                <w:szCs w:val="1"/>
                <w:color w:val="auto"/>
              </w:rPr>
            </w:pPr>
          </w:p>
        </w:tc>
      </w:tr>
      <w:tr>
        <w:trPr>
          <w:trHeight w:val="228"/>
        </w:trPr>
        <w:tc>
          <w:tcPr>
            <w:tcW w:w="9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Dilutive effect of stock-based compensation</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9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 diluted</w:t>
            </w: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82,291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80,331</w:t>
            </w:r>
          </w:p>
        </w:tc>
        <w:tc>
          <w:tcPr>
            <w:tcW w:w="0" w:type="dxa"/>
            <w:vAlign w:val="bottom"/>
          </w:tcPr>
          <w:p>
            <w:pPr>
              <w:spacing w:after="0"/>
              <w:rPr>
                <w:sz w:val="1"/>
                <w:szCs w:val="1"/>
                <w:color w:val="auto"/>
              </w:rPr>
            </w:pPr>
          </w:p>
        </w:tc>
      </w:tr>
      <w:tr>
        <w:trPr>
          <w:trHeight w:val="226"/>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 per common share, attributable to Enviri Corporation common stockholders: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average outstanding stock-based compensation units were not included in the computation of diluted earnings (loss) per share because the effect was either antidilutive or the market conditions for the performance share units were not met: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gridSpan w:val="2"/>
            <w:vMerge w:val="continue"/>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0" w:firstLine="8"/>
        <w:spacing w:after="0" w:line="280" w:lineRule="auto"/>
        <w:tabs>
          <w:tab w:leader="none" w:pos="24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 Hedging Activities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uses derivative instruments, including foreign currency exchange forward contracts and interest rate swaps, to manage certain foreign currency and interest rate exposures. Derivative instruments are viewed as risk management tools by the Company and are not used for trading or speculative purposes. All derivative instruments are recorded on the Company's Condensed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The Company may enter into derivative contracts that are intended to economically hedge certain of its risks, even though hedge accounting does not apply or the Company elects not to apply hedge accounting.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primarily applies the market approach for recurring fair value measurements and endeavors to utilize the best available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information. Accordingly, the Company utilizes valuation techniques that maximize the use of observable inputs, such as forward rates, interest rates, the Company’s credit risk and counterparties’ credit risks, and which minimize the use of unobservable inputs. The Company is able to classify fair value balances based on the ability to observe those inputs. Foreign currency exchange forward contracts and interest rate swaps are based upon pricing models using market-based inputs (Level 2). Model inputs can be verified and valuation techniques do not involve significant management judgment.</w:t>
      </w:r>
    </w:p>
    <w:p>
      <w:pPr>
        <w:spacing w:after="0" w:line="135"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fair value of outstanding derivative contracts recorded as assets and liabilities on the Company's Condensed Consolidated Balance Sheets was as follows:</w:t>
      </w: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60" w:type="dxa"/>
            <w:vAlign w:val="bottom"/>
          </w:tcPr>
          <w:p>
            <w:pPr>
              <w:spacing w:after="0"/>
              <w:rPr>
                <w:sz w:val="11"/>
                <w:szCs w:val="11"/>
                <w:color w:val="auto"/>
              </w:rPr>
            </w:pPr>
          </w:p>
        </w:tc>
        <w:tc>
          <w:tcPr>
            <w:tcW w:w="12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30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 (Level 2):</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5,350</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 (Level 2):</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14,122</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 (Level 2):</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 (Level 2):</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2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All of the Company's derivatives are recorded on the Condensed Consolidated Balance Sheets at gross amounts and do not offset. All of the Company's interest rate swaps and certain foreign currency exchange forward contracts are transacted under ISDA documentation. Each ISDA master agreement permits the net settlement of amounts owed in the event of default. The Company's derivative assets and liabilities subject to enforceable master netting arrangements, if offset, would have resulted in a net asset of $1.2 million at March 31, 2026 and a $0.3 million net liability at December 31, 2025.</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Company's Condensed Consolidated Statements of Comprehensive Income (Loss) was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220" w:type="dxa"/>
            <w:vAlign w:val="bottom"/>
          </w:tcPr>
          <w:p>
            <w:pPr>
              <w:spacing w:after="0"/>
              <w:rPr>
                <w:sz w:val="13"/>
                <w:szCs w:val="13"/>
                <w:color w:val="auto"/>
              </w:rPr>
            </w:pPr>
          </w:p>
        </w:tc>
        <w:tc>
          <w:tcPr>
            <w:tcW w:w="224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 (Gain) Reclassified from</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246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AOCI into Income - Effective Portion</w:t>
            </w:r>
          </w:p>
        </w:tc>
        <w:tc>
          <w:tcPr>
            <w:tcW w:w="0" w:type="dxa"/>
            <w:vAlign w:val="bottom"/>
          </w:tcPr>
          <w:p>
            <w:pPr>
              <w:spacing w:after="0"/>
              <w:rPr>
                <w:sz w:val="1"/>
                <w:szCs w:val="1"/>
                <w:color w:val="auto"/>
              </w:rPr>
            </w:pPr>
          </w:p>
        </w:tc>
      </w:tr>
      <w:tr>
        <w:trPr>
          <w:trHeight w:val="198"/>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OCI on Derivatives</w:t>
            </w:r>
          </w:p>
        </w:tc>
        <w:tc>
          <w:tcPr>
            <w:tcW w:w="220" w:type="dxa"/>
            <w:vAlign w:val="bottom"/>
          </w:tcPr>
          <w:p>
            <w:pPr>
              <w:spacing w:after="0"/>
              <w:rPr>
                <w:sz w:val="17"/>
                <w:szCs w:val="17"/>
                <w:color w:val="auto"/>
              </w:rPr>
            </w:pPr>
          </w:p>
        </w:tc>
        <w:tc>
          <w:tcPr>
            <w:tcW w:w="140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or Equity</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locations and amounts of gain (loss) recognized on the Company's Condensed Consolidated Statements of Operations was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Product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Product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300" w:type="dxa"/>
            <w:vAlign w:val="bottom"/>
            <w:tcBorders>
              <w:bottom w:val="single" w:sz="8" w:color="auto"/>
            </w:tcBorders>
            <w:gridSpan w:val="2"/>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7080" w:type="dxa"/>
            <w:vAlign w:val="bottom"/>
            <w:gridSpan w:val="3"/>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Total amounts in the Condensed Consolidated Statement of Operations in which the effects of</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 are recorded</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65,778</w:t>
            </w:r>
          </w:p>
        </w:tc>
        <w:tc>
          <w:tcPr>
            <w:tcW w:w="320" w:type="dxa"/>
            <w:vAlign w:val="bottom"/>
            <w:gridSpan w:val="3"/>
            <w:vMerge w:val="continue"/>
            <w:shd w:val="clear" w:color="auto" w:fill="CCEEFF"/>
          </w:tcPr>
          <w:p>
            <w:pPr>
              <w:spacing w:after="0"/>
              <w:rPr>
                <w:sz w:val="21"/>
                <w:szCs w:val="21"/>
                <w:color w:val="auto"/>
              </w:rPr>
            </w:pPr>
          </w:p>
        </w:tc>
        <w:tc>
          <w:tcPr>
            <w:tcW w:w="740" w:type="dxa"/>
            <w:vAlign w:val="bottom"/>
            <w:gridSpan w:val="3"/>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71,444</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(26,574)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reclassified from AOCI into income</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reclassified from AOCI into income</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7"/>
          </w:tcPr>
          <w:p>
            <w:pPr>
              <w:jc w:val="center"/>
              <w:ind w:right="4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Income on Derivatives </w:t>
            </w:r>
            <w:r>
              <w:rPr>
                <w:rFonts w:ascii="Times New Roman" w:cs="Times New Roman" w:eastAsia="Times New Roman" w:hAnsi="Times New Roman"/>
                <w:sz w:val="18"/>
                <w:szCs w:val="18"/>
                <w:b w:val="1"/>
                <w:bCs w:val="1"/>
                <w:color w:val="auto"/>
                <w:w w:val="99"/>
                <w:vertAlign w:val="superscript"/>
              </w:rPr>
              <w:t>(a)</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6"/>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60" w:type="dxa"/>
            <w:vAlign w:val="bottom"/>
            <w:gridSpan w:val="6"/>
            <w:vMerge w:val="continu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360" w:type="dxa"/>
            <w:vAlign w:val="bottom"/>
            <w:gridSpan w:val="3"/>
            <w:vMerge w:val="continue"/>
          </w:tcPr>
          <w:p>
            <w:pPr>
              <w:spacing w:after="0"/>
              <w:rPr>
                <w:sz w:val="16"/>
                <w:szCs w:val="16"/>
                <w:color w:val="auto"/>
              </w:rPr>
            </w:pPr>
          </w:p>
        </w:tc>
        <w:tc>
          <w:tcPr>
            <w:tcW w:w="274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Income on Derivatives (a)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gridSpan w:val="6"/>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9"/>
              </w:rPr>
              <w:t>Cost of services and products sold</w:t>
            </w: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rPr>
              <w:t>11,486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(15,156)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gains (losses) offset other amounts recognized in cost of services and products sold principally as a result of intercompany or third party foreign currency exposures.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The Company conducts business in multiple currencies and, accordingly, is subject to the inherent risks associated with foreign exchange rate movements. Foreign currency-denominated assets and liabilities are translated into U.S. dollars at the exchange rates existing at the respective balance sheet dates, and income and expense items are translated at the average exchange rates during the respective periods.</w:t>
      </w:r>
    </w:p>
    <w:p>
      <w:pPr>
        <w:spacing w:after="0" w:line="21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uses derivative instruments to hedge cash flows related to foreign currency fluctuations. Foreign currency exchange forward contracts outstanding are part of a worldwide program to minimize foreign currency exchange operating income and balance sheet exposure by offsetting foreign currency exposures of certain future payments between the Company and various subsidiaries, suppliers or customers. The unsecured contracts are with major financial institutions. The Company may be exposed to credit loss in the event of non-performance by the contract counterparties. The Company evaluates the creditworthiness of the counterparties and does not expect default by them. Foreign currency exchange forward contracts are used to hedge commitments, such as foreign currency debt, firm purchase commitments and foreign currency cash flows for certain export sales transactions.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Changes in the fair value of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may be accounted for as cash flow hedges, as deemed appropriate, if the criteria for hedge accounting are met. Gains and losses on derivatives designated as cash flow hedges are deferred in AOCI, a separate component of equity, and reclassified to earnings in a manner that matches the timing of the earnings impact of the hedged transactions. The ineffective portion of all hedges, if any, is recognized currently in earnings.</w:t>
      </w:r>
    </w:p>
    <w:p>
      <w:pPr>
        <w:spacing w:after="0" w:line="1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recognized gains and losses offset amounts recognized in cost of services and products sold principally as a result of intercompany or third-party foreign currency exposures. At March 31, 2026 and December 31, 2025, the notional amounts of foreign currency exchange forward contracts were $614.3 million and $639.0 million, respectively. These contracts are primarily denominated in British Pound Sterling and Euros and mature through October 2027.</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foreign currency exchange forward contracts, the Company designates certain loans as hedges of net investments in international subsidiaries. The Company recorded a pre-tax net gain of $0.1 million for the three months ended March 31, 2026, and a pre-tax net loss of $0.6 million for the three months ended March 31, 2025 in OCI.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Company uses interest rate swaps in conjunction with certain variable rate debt issuances in order to secure a fixed interest rate. Changes in the fair value attributed to the effect of the swaps’ interest spread and changes in the credit worthiness of the counter-parties are recorded in OCI.</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a series of interest rate swaps that have been effective since December 2025 and are scheduled to mature in March 2028. These forward swaps have the effect of converting $300.0 million under the Term Loan from a floating interest rate to a fixed interest rate and are classified as cash flow hedges. These swaps provide fixed interest rates that range from 3.06% to 3.12% and replace the adjusted SOFR rate in the interest calculation.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liabilities and short-term borrowings approximate fair value due to the short-term maturities of these assets and liabilities. At March 31, 2026 and December 31, 2025, the total fair value of long-term debt and current maturities, excluding deferred financing costs, was $1,588.3 million and $1,566.4 million, respectively, compared with a carrying value of $1,592.4 million and $1,567.0 million, respectively. Fair values for debt are based on pricing models using market-based inputs (Level 2) for similar issues or on the current rates offered to the Company for debt of the same remaining maturities.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Review of Operations by Segment*</w:t>
      </w:r>
    </w:p>
    <w:p>
      <w:pPr>
        <w:spacing w:after="0" w:line="25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The tables below include information about the Company's revenues and operating income (loss) by reportable segment, along with significant segment expenses and other segment information, followed by a reconciliation of operating income (loss) by reporting segment to the Company's consolidated Income (loss) from continuing operations before income taxes and equity in income, for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Harsco</w:t>
            </w:r>
          </w:p>
        </w:tc>
        <w:tc>
          <w:tcPr>
            <w:tcW w:w="110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Clean</w:t>
            </w: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Harsco</w:t>
            </w:r>
          </w:p>
        </w:tc>
        <w:tc>
          <w:tcPr>
            <w:tcW w:w="12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Earth</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Rail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 and Loss:</w:t>
            </w: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256,717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225,755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67,331</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549,803</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549,803</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services and products sold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218,007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168,860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57,972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444,839</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444,839</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80,714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91,456</w:t>
            </w: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 xml:space="preserve">Other segment activities </w:t>
            </w:r>
            <w:r>
              <w:rPr>
                <w:rFonts w:ascii="Times New Roman" w:cs="Times New Roman" w:eastAsia="Times New Roman" w:hAnsi="Times New Roman"/>
                <w:sz w:val="18"/>
                <w:szCs w:val="18"/>
                <w:color w:val="auto"/>
                <w:vertAlign w:val="superscript"/>
              </w:rPr>
              <w:t>(a)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12,715</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income (loss) from continuing operations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Plus: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w:t>
            </w:r>
          </w:p>
        </w:tc>
        <w:tc>
          <w:tcPr>
            <w:tcW w:w="0" w:type="dxa"/>
            <w:vAlign w:val="bottom"/>
          </w:tcPr>
          <w:p>
            <w:pPr>
              <w:spacing w:after="0"/>
              <w:rPr>
                <w:sz w:val="1"/>
                <w:szCs w:val="1"/>
                <w:color w:val="auto"/>
              </w:rPr>
            </w:pPr>
          </w:p>
        </w:tc>
      </w:tr>
      <w:tr>
        <w:trPr>
          <w:trHeight w:val="196"/>
        </w:trPr>
        <w:tc>
          <w:tcPr>
            <w:tcW w:w="3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(27,833)</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Facility fees and debt-related income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(2,294)</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pension income (expense)</w:t>
            </w: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(3,936)</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 and equity in income</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(32,797)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Information:</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27,896</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1,196</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40,195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40,428</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6,795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7,844</w:t>
            </w:r>
          </w:p>
        </w:tc>
        <w:tc>
          <w:tcPr>
            <w:tcW w:w="0" w:type="dxa"/>
            <w:vAlign w:val="bottom"/>
          </w:tcPr>
          <w:p>
            <w:pPr>
              <w:spacing w:after="0"/>
              <w:rPr>
                <w:sz w:val="1"/>
                <w:szCs w:val="1"/>
                <w:color w:val="auto"/>
              </w:rPr>
            </w:pPr>
          </w:p>
        </w:tc>
      </w:tr>
      <w:tr>
        <w:trPr>
          <w:trHeight w:val="190"/>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17,407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1,768</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33,598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33,727</w:t>
            </w:r>
          </w:p>
        </w:tc>
        <w:tc>
          <w:tcPr>
            <w:tcW w:w="0" w:type="dxa"/>
            <w:vAlign w:val="bottom"/>
          </w:tcPr>
          <w:p>
            <w:pPr>
              <w:spacing w:after="0"/>
              <w:rPr>
                <w:sz w:val="1"/>
                <w:szCs w:val="1"/>
                <w:color w:val="auto"/>
              </w:rPr>
            </w:pPr>
          </w:p>
        </w:tc>
      </w:tr>
      <w:tr>
        <w:trPr>
          <w:trHeight w:val="313"/>
        </w:trPr>
        <w:tc>
          <w:tcPr>
            <w:tcW w:w="3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Harsco</w:t>
            </w:r>
          </w:p>
        </w:tc>
        <w:tc>
          <w:tcPr>
            <w:tcW w:w="1100" w:type="dxa"/>
            <w:vAlign w:val="bottom"/>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Clean</w:t>
            </w: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Harsco</w:t>
            </w:r>
          </w:p>
        </w:tc>
        <w:tc>
          <w:tcPr>
            <w:tcW w:w="122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Earth</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Rail</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 and Loss:</w:t>
            </w: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243,106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234,854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69,947</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547,907</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547,907</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services and products sold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202,017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425,053</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425,053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89,108</w:t>
            </w: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 xml:space="preserve">Other segment activities </w:t>
            </w:r>
            <w:r>
              <w:rPr>
                <w:rFonts w:ascii="Times New Roman" w:cs="Times New Roman" w:eastAsia="Times New Roman" w:hAnsi="Times New Roman"/>
                <w:sz w:val="18"/>
                <w:szCs w:val="18"/>
                <w:color w:val="auto"/>
                <w:vertAlign w:val="superscript"/>
              </w:rPr>
              <w:t>(a)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 (loss) from continuing operations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Plus: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95"/>
        </w:trPr>
        <w:tc>
          <w:tcPr>
            <w:tcW w:w="3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(26,574)</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Facility fees and debt-related income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pension income (expense)</w:t>
            </w: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 and equity in income</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Information:</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36,442</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7,403</w:t>
            </w:r>
          </w:p>
        </w:tc>
        <w:tc>
          <w:tcPr>
            <w:tcW w:w="0" w:type="dxa"/>
            <w:vAlign w:val="bottom"/>
          </w:tcPr>
          <w:p>
            <w:pPr>
              <w:spacing w:after="0"/>
              <w:rPr>
                <w:sz w:val="1"/>
                <w:szCs w:val="1"/>
                <w:color w:val="auto"/>
              </w:rPr>
            </w:pPr>
          </w:p>
        </w:tc>
      </w:tr>
      <w:tr>
        <w:trPr>
          <w:trHeight w:val="188"/>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440" w:firstLine="8"/>
        <w:spacing w:after="0" w:line="261" w:lineRule="auto"/>
        <w:tabs>
          <w:tab w:leader="none" w:pos="1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activities include amounts reflected in the captions Research and development costs, Other income (expenses), net, and certain activities reported in Cost of services and products sold on the Company's Condensed Consolidated Statements of Operations.</w:t>
      </w: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in Corporate relates to the amortization of deferred financing costs.</w:t>
      </w:r>
    </w:p>
    <w:p>
      <w:pPr>
        <w:spacing w:after="0" w:line="254" w:lineRule="exact"/>
        <w:rPr>
          <w:sz w:val="20"/>
          <w:szCs w:val="20"/>
          <w:color w:val="auto"/>
        </w:rPr>
      </w:pPr>
    </w:p>
    <w:p>
      <w:pPr>
        <w:ind w:firstLine="8"/>
        <w:spacing w:after="0" w:line="280" w:lineRule="auto"/>
        <w:tabs>
          <w:tab w:leader="none" w:pos="24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Revenues*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recognizes revenues to depict the transfer of promised services and products to customers in an amount that reflects the consideration the Company expects to receive in exchange for those services and products. Service revenues include CE and the service components of HE and Rail. Product revenues include portions of HE and Rail. There are no significant inter-segment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revenues by primary geographical markets as well as by key product and service groups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Harsco</w:t>
            </w:r>
          </w:p>
        </w:tc>
        <w:tc>
          <w:tcPr>
            <w:tcW w:w="20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Clean Earth</w:t>
            </w:r>
          </w:p>
        </w:tc>
        <w:tc>
          <w:tcPr>
            <w:tcW w:w="20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 Totals</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Primary Geographical Markets </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225,755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39,618</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324,471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Latin America </w:t>
            </w:r>
            <w:r>
              <w:rPr>
                <w:rFonts w:ascii="Times New Roman" w:cs="Times New Roman" w:eastAsia="Times New Roman" w:hAnsi="Times New Roman"/>
                <w:sz w:val="14"/>
                <w:szCs w:val="14"/>
                <w:color w:val="auto"/>
              </w:rPr>
              <w:t>(b)</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42,175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Middle East and Africa</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25,533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Eastern Europe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256,717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225,755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67,331</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549,803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Product and Service Groups: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5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Environmental services related to resource recovery for metals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240,425</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240,425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and related logistical services</w:t>
            </w:r>
          </w:p>
        </w:tc>
        <w:tc>
          <w:tcPr>
            <w:tcW w:w="14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Ecoproducts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systems for aluminum dross and scrap processing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Railway track maintenance equipment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After-market parts and services; safety and diagnostic technology</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Railway contracting services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waste processing solutions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188,807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Soil and dredged materials processing and reuse solutions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549,803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Harsco</w:t>
            </w: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Clean Earth</w:t>
            </w:r>
          </w:p>
        </w:tc>
        <w:tc>
          <w:tcPr>
            <w:tcW w:w="20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Totals</w:t>
            </w:r>
          </w:p>
        </w:tc>
        <w:tc>
          <w:tcPr>
            <w:tcW w:w="0" w:type="dxa"/>
            <w:vAlign w:val="bottom"/>
          </w:tcPr>
          <w:p>
            <w:pPr>
              <w:spacing w:after="0"/>
              <w:rPr>
                <w:sz w:val="1"/>
                <w:szCs w:val="1"/>
                <w:color w:val="auto"/>
              </w:rPr>
            </w:pPr>
          </w:p>
        </w:tc>
      </w:tr>
      <w:tr>
        <w:trPr>
          <w:trHeight w:val="195"/>
        </w:trPr>
        <w:tc>
          <w:tcPr>
            <w:tcW w:w="5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Primary Geographical Markets </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327,056</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124,868</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Latin America </w:t>
            </w:r>
            <w:r>
              <w:rPr>
                <w:rFonts w:ascii="Times New Roman" w:cs="Times New Roman" w:eastAsia="Times New Roman" w:hAnsi="Times New Roman"/>
                <w:sz w:val="14"/>
                <w:szCs w:val="14"/>
                <w:color w:val="auto"/>
              </w:rPr>
              <w:t>(b)</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33,924</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196"/>
        </w:trPr>
        <w:tc>
          <w:tcPr>
            <w:tcW w:w="5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243,106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234,854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69,947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4"/>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547,907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Key Product and Service Groups: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Environmental services related to resource recovery for metals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 and related logistical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Ecoproducts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systems for aluminum dross and scrap processing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track maintenance equipment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After-market parts and services; safety and diagnostic technology</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contracting services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Hazardous waste processing solutions</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197,594</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Soil and dredged materials processing and reuse solutions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37,260</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243,106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547,907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attributed to individual countries based on the location of the facility generating the revenue.</w:t>
      </w:r>
    </w:p>
    <w:p>
      <w:pPr>
        <w:spacing w:after="0" w:line="17"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Mexico.</w:t>
      </w:r>
    </w:p>
    <w:p>
      <w:pPr>
        <w:spacing w:after="0" w:line="24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in advance of earning revenue (advances on contracts), which are included in Current portion of advances on contracts and Other liabilities on the Condensed Consolidated Balance Sheets. The Company may recognize revenue in advance of being able to contractually invoice the customer (contract assets), which is included in Current portion of contract assets and Other assets on the Condensed Consolidated Balance Sheets. Contract assets are transferred to Trade accounts receivable, net, when the right to payment becomes unconditional. Contract assets and advances on contracts are reported as a net position, on a contract-by-contract basis, at the end of each reporting period. These instances are primarily related to Rail.</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had contract assets totaling $75.2 million and $69.1 million at March 31, 2026 and December 31, 2025, respectively. The Company had advances on contracts totaling $9.1 million and $8.2 million at March 31, 2026 and December 31, 2025, respectively. The increase in advances on contracts is due principally to an excess of new advances over the recognition of revenue on previously received advances on contracts during the period. During the three months ended March 31, 2026, the Company recognized $4.7 million of revenue related to amounts previously included in advances on contracts. During the three months ended March 31, 2025, the Company recognized revenues of $17.6 million related to amounts previously included in advances on contracts.</w:t>
      </w:r>
    </w:p>
    <w:p>
      <w:pPr>
        <w:spacing w:after="0" w:line="21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table below represents the expected fulfillment year of Company's fixed, unsatisfied performance obligations, where the expected contract duration exceeds one year, by segment, and excludes any variable fees, fixed fees subject to indexation and any performance obligations expected to be satisfied within one year:</w:t>
      </w:r>
    </w:p>
    <w:tbl>
      <w:tblPr>
        <w:tblLayout w:type="fixed"/>
        <w:tblInd w:w="0" w:type="dxa"/>
        <w:tblCellMar>
          <w:top w:w="0" w:type="dxa"/>
          <w:left w:w="0" w:type="dxa"/>
          <w:bottom w:w="0" w:type="dxa"/>
          <w:right w:w="0" w:type="dxa"/>
        </w:tblCellMar>
      </w:tblPr>
      <w:tr>
        <w:trPr>
          <w:trHeight w:val="136"/>
        </w:trPr>
        <w:tc>
          <w:tcPr>
            <w:tcW w:w="8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Harsco</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4"/>
              <w:spacing w:after="0" w:line="136" w:lineRule="exact"/>
              <w:rPr>
                <w:sz w:val="20"/>
                <w:szCs w:val="20"/>
                <w:color w:val="auto"/>
              </w:rPr>
            </w:pPr>
            <w:r>
              <w:rPr>
                <w:rFonts w:ascii="Times New Roman" w:cs="Times New Roman" w:eastAsia="Times New Roman" w:hAnsi="Times New Roman"/>
                <w:sz w:val="14"/>
                <w:szCs w:val="14"/>
                <w:b w:val="1"/>
                <w:bCs w:val="1"/>
                <w:color w:val="auto"/>
              </w:rPr>
              <w:t>Harsco</w:t>
            </w:r>
          </w:p>
        </w:tc>
        <w:tc>
          <w:tcPr>
            <w:tcW w:w="0" w:type="dxa"/>
            <w:vAlign w:val="bottom"/>
          </w:tcPr>
          <w:p>
            <w:pPr>
              <w:spacing w:after="0"/>
              <w:rPr>
                <w:sz w:val="1"/>
                <w:szCs w:val="1"/>
                <w:color w:val="auto"/>
              </w:rPr>
            </w:pPr>
          </w:p>
        </w:tc>
      </w:tr>
      <w:tr>
        <w:trPr>
          <w:trHeight w:val="195"/>
        </w:trPr>
        <w:tc>
          <w:tcPr>
            <w:tcW w:w="8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4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Rail</w:t>
            </w:r>
          </w:p>
        </w:tc>
        <w:tc>
          <w:tcPr>
            <w:tcW w:w="0" w:type="dxa"/>
            <w:vAlign w:val="bottom"/>
          </w:tcPr>
          <w:p>
            <w:pPr>
              <w:spacing w:after="0"/>
              <w:rPr>
                <w:sz w:val="1"/>
                <w:szCs w:val="1"/>
                <w:color w:val="auto"/>
              </w:rPr>
            </w:pPr>
          </w:p>
        </w:tc>
      </w:tr>
      <w:tr>
        <w:trPr>
          <w:trHeight w:val="228"/>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42,885</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9,063</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108,990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Rail is currently manufacturing highly-engineered equipment under significant long-term fixed-price contracts with SBB, Network Rail, and Deutsche Bahn. As previously disclosed, the Company has recognized estimated forward loss provisions related to these contracts due to several factors, such as material and labor cost inflation, supply chain delays, the bankruptcy of key vendors, increased engineering efforts and challenges encountered with homologation and commissioning of equipment.</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Network Rail contract, no adjustment was made to the forward loss provision for the three months ended March 31, 2026. During the three months ended March 31, 2025, the Company recorded an additional forward loss provision of $1.1 million primarily related to increased estimated engineering and manufacturing costs.</w:t>
      </w:r>
    </w:p>
    <w:p>
      <w:pPr>
        <w:spacing w:after="0" w:line="18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For the Deutsche Bahn contract, no adjustment was made to the forward loss provision during the three months ended March 31, 2026. During the three months ended March 31, 2025, the Company recorded a net favorable adjustment of $13.3 million that was the result of an amendment to the contract with Deutsche Bahn which included additional pricing, as well as an extension of the delivery schedule for the machines which resulted in a reduction of the previous estimate of penalties. The increased pricing and reduction of penalties were recorded as an increase to revenue. Partially offsetting this were higher estimated material, manufacturing and engineering costs.</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SBB contract, no adjustment was made to the forward loss provision during the three months ended March 31, 2026. For the three months ended March 31, 2025, the Company recorded an additional loss provision of $1.1 million due to an increased estimate for engineering costs and a supplier claim.</w:t>
      </w:r>
    </w:p>
    <w:p>
      <w:pPr>
        <w:spacing w:after="0" w:line="20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The estimated forward loss provisions represent the Company's best estimate based on currently available information. It is possible that the Company's overall estimate of liquidated damages, penalties and costs to complete these contracts may change, which could result in an additional estimated forward loss provision at such time that could be material. The Company will continue to update its estimates to complete these contracts, which will include the effect of negotiations with the customers regarding measures to improve the overall economics if the contracts, to include price increases, change orders and extensions to delivery schedules. To that extent, the Company is currently in discussions with Network Rail and has sent Network Rail a letter communicating the need to bring the negotiations to closure and summarizing various options, including a substantial revision of the contract’s economic terms or finding a mutually acceptable exit to this contract. If the Company were to exit this contract and/or other contracts, it could result in a material unfavorable impact to the Company's results of operations and cash flows.</w:t>
      </w:r>
    </w:p>
    <w:p>
      <w:pPr>
        <w:spacing w:after="0" w:line="21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the contracts with Network Rail, Deutsche Bahn and SBB are 68%, 56% and 91% complete, respectively, based on costs incurred under the cost-to-cost method to measure progress.</w:t>
      </w:r>
    </w:p>
    <w:p>
      <w:pPr>
        <w:spacing w:after="0" w:line="189"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The Company provides assurance type warranties primarily for product sales at Rail. These warranties are typically not priced or negotiated separately (there is no option to separately purchase the warranty) or the warranty does not provide customers with a service in addition to the assurance that the product complies with agreed-upon specifications. Accordingly, such warranties do not represent separate performance obligations.</w:t>
      </w:r>
    </w:p>
    <w:p>
      <w:pPr>
        <w:spacing w:after="0" w:line="187" w:lineRule="exact"/>
        <w:rPr>
          <w:sz w:val="20"/>
          <w:szCs w:val="20"/>
          <w:color w:val="auto"/>
        </w:rPr>
      </w:pPr>
    </w:p>
    <w:p>
      <w:pPr>
        <w:ind w:right="20" w:firstLine="8"/>
        <w:spacing w:after="0" w:line="280" w:lineRule="auto"/>
        <w:tabs>
          <w:tab w:leader="none" w:pos="24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Expense (Income),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this Condensed Consolidated Statements of Operations caption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 costs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for exit activities </w:t>
            </w:r>
            <w:r>
              <w:rPr>
                <w:rFonts w:ascii="Times New Roman" w:cs="Times New Roman" w:eastAsia="Times New Roman" w:hAnsi="Times New Roman"/>
                <w:sz w:val="9"/>
                <w:szCs w:val="9"/>
                <w:color w:val="auto"/>
              </w:rPr>
              <w:t>(a)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sale of assets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Includes costs related to the planned sale of Clean Earth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Components of Accumulated Other Comprehensive Loss*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AOCI is included on the Condensed Consolidated Statements of Equity. The components of AOCI, net of the effect of income taxes, and activity for the three months ended March 31, 2026 and 2025, were as follows: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 of AOCI, Net of Tax</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180" w:type="dxa"/>
            <w:vAlign w:val="bottom"/>
            <w:gridSpan w:val="5"/>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1"/>
                <w:szCs w:val="11"/>
                <w:color w:val="auto"/>
              </w:rPr>
            </w:pPr>
          </w:p>
        </w:tc>
        <w:tc>
          <w:tcPr>
            <w:tcW w:w="114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2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1"/>
                <w:szCs w:val="11"/>
                <w:color w:val="auto"/>
              </w:rPr>
            </w:pPr>
          </w:p>
        </w:tc>
        <w:tc>
          <w:tcPr>
            <w:tcW w:w="108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 Derivatives</w:t>
            </w:r>
          </w:p>
        </w:tc>
        <w:tc>
          <w:tcPr>
            <w:tcW w:w="12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2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Actuarial Losses</w:t>
            </w:r>
          </w:p>
        </w:tc>
        <w:tc>
          <w:tcPr>
            <w:tcW w:w="140" w:type="dxa"/>
            <w:vAlign w:val="bottom"/>
          </w:tcPr>
          <w:p>
            <w:pPr>
              <w:spacing w:after="0"/>
              <w:rPr>
                <w:sz w:val="12"/>
                <w:szCs w:val="12"/>
                <w:color w:val="auto"/>
              </w:rPr>
            </w:pPr>
          </w:p>
        </w:tc>
        <w:tc>
          <w:tcPr>
            <w:tcW w:w="10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Pension</w:t>
            </w:r>
          </w:p>
        </w:tc>
        <w:tc>
          <w:tcPr>
            <w:tcW w:w="140" w:type="dxa"/>
            <w:vAlign w:val="bottom"/>
          </w:tcPr>
          <w:p>
            <w:pPr>
              <w:spacing w:after="0"/>
              <w:rPr>
                <w:sz w:val="12"/>
                <w:szCs w:val="12"/>
                <w:color w:val="auto"/>
              </w:rPr>
            </w:pPr>
          </w:p>
        </w:tc>
        <w:tc>
          <w:tcPr>
            <w:tcW w:w="10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7"/>
                <w:szCs w:val="17"/>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(514,481)</w:t>
            </w:r>
          </w:p>
        </w:tc>
        <w:tc>
          <w:tcPr>
            <w:tcW w:w="0" w:type="dxa"/>
            <w:vAlign w:val="bottom"/>
          </w:tcPr>
          <w:p>
            <w:pPr>
              <w:spacing w:after="0"/>
              <w:rPr>
                <w:sz w:val="1"/>
                <w:szCs w:val="1"/>
                <w:color w:val="auto"/>
              </w:rPr>
            </w:pPr>
          </w:p>
        </w:tc>
      </w:tr>
      <w:tr>
        <w:trPr>
          <w:trHeight w:val="223"/>
        </w:trPr>
        <w:tc>
          <w:tcPr>
            <w:tcW w:w="5220" w:type="dxa"/>
            <w:vAlign w:val="bottom"/>
            <w:gridSpan w:val="3"/>
          </w:tcPr>
          <w:p>
            <w:pPr>
              <w:spacing w:after="0" w:line="223" w:lineRule="exact"/>
              <w:rPr>
                <w:sz w:val="20"/>
                <w:szCs w:val="20"/>
                <w:color w:val="auto"/>
              </w:rPr>
            </w:pPr>
            <w:r>
              <w:rPr>
                <w:rFonts w:ascii="Times New Roman" w:cs="Times New Roman" w:eastAsia="Times New Roman" w:hAnsi="Times New Roman"/>
                <w:sz w:val="18"/>
                <w:szCs w:val="18"/>
                <w:color w:val="auto"/>
              </w:rPr>
              <w:t xml:space="preserve">OCI before reclassifications </w:t>
            </w:r>
            <w:r>
              <w:rPr>
                <w:rFonts w:ascii="Times New Roman" w:cs="Times New Roman" w:eastAsia="Times New Roman" w:hAnsi="Times New Roman"/>
                <w:sz w:val="23"/>
                <w:szCs w:val="23"/>
                <w:color w:val="auto"/>
                <w:vertAlign w:val="superscript"/>
              </w:rPr>
              <w:t>(a)(b)</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23"/>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OCI</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29"/>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OCI attributable to noncontrolling interests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OCI attributable to Enviri Corporation</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(205,529)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(509,773)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1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Components of AOCI, Net of Tax</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1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1"/>
                <w:szCs w:val="11"/>
                <w:color w:val="auto"/>
              </w:rPr>
            </w:pPr>
          </w:p>
        </w:tc>
        <w:tc>
          <w:tcPr>
            <w:tcW w:w="114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20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1080" w:type="dxa"/>
            <w:vAlign w:val="bottom"/>
            <w:gridSpan w:val="4"/>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 Derivatives</w:t>
            </w:r>
          </w:p>
        </w:tc>
        <w:tc>
          <w:tcPr>
            <w:tcW w:w="120" w:type="dxa"/>
            <w:vAlign w:val="bottom"/>
          </w:tcPr>
          <w:p>
            <w:pPr>
              <w:spacing w:after="0"/>
              <w:rPr>
                <w:sz w:val="12"/>
                <w:szCs w:val="12"/>
                <w:color w:val="auto"/>
              </w:rPr>
            </w:pPr>
          </w:p>
        </w:tc>
        <w:tc>
          <w:tcPr>
            <w:tcW w:w="11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2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Actuarial Losses</w:t>
            </w:r>
          </w:p>
        </w:tc>
        <w:tc>
          <w:tcPr>
            <w:tcW w:w="14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1"/>
                <w:szCs w:val="11"/>
                <w:color w:val="auto"/>
              </w:rPr>
            </w:pPr>
          </w:p>
        </w:tc>
        <w:tc>
          <w:tcPr>
            <w:tcW w:w="108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20" w:type="dxa"/>
            <w:vAlign w:val="bottom"/>
          </w:tcPr>
          <w:p>
            <w:pPr>
              <w:spacing w:after="0"/>
              <w:rPr>
                <w:sz w:val="11"/>
                <w:szCs w:val="11"/>
                <w:color w:val="auto"/>
              </w:rPr>
            </w:pPr>
          </w:p>
        </w:tc>
        <w:tc>
          <w:tcPr>
            <w:tcW w:w="11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on Pension</w:t>
            </w:r>
          </w:p>
        </w:tc>
        <w:tc>
          <w:tcPr>
            <w:tcW w:w="140" w:type="dxa"/>
            <w:vAlign w:val="bottom"/>
          </w:tcPr>
          <w:p>
            <w:pPr>
              <w:spacing w:after="0"/>
              <w:rPr>
                <w:sz w:val="11"/>
                <w:szCs w:val="11"/>
                <w:color w:val="auto"/>
              </w:rPr>
            </w:pPr>
          </w:p>
        </w:tc>
        <w:tc>
          <w:tcPr>
            <w:tcW w:w="1060" w:type="dxa"/>
            <w:vAlign w:val="bottom"/>
            <w:gridSpan w:val="4"/>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1"/>
                <w:szCs w:val="1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7"/>
                <w:szCs w:val="17"/>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(537,385)</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OCI before reclassifications </w:t>
            </w:r>
            <w:r>
              <w:rPr>
                <w:rFonts w:ascii="Times New Roman" w:cs="Times New Roman" w:eastAsia="Times New Roman" w:hAnsi="Times New Roman"/>
                <w:sz w:val="23"/>
                <w:szCs w:val="23"/>
                <w:color w:val="auto"/>
                <w:vertAlign w:val="superscript"/>
              </w:rPr>
              <w:t>(a)(b)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OCI</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2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OCI attributable to noncontrolling interests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OCI attributable to Enviri Corporation</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43"/>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(316,107)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(529,638)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cumulative amounts from foreign exchange translation and unrecognized actuarial losses on pension obligations are principally from foreign currency fluctuation.</w:t>
      </w:r>
    </w:p>
    <w:p>
      <w:pPr>
        <w:spacing w:after="0" w:line="26"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related to the effective portion of derivatives designated as hedge instruments are due to the net change from periodic revaluations.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AOCI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8"/>
                <w:szCs w:val="18"/>
                <w:color w:val="auto"/>
              </w:rPr>
            </w:pPr>
          </w:p>
        </w:tc>
        <w:tc>
          <w:tcPr>
            <w:tcW w:w="26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Location on the Condensed</w:t>
            </w: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5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 cash flow hedging instruments: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revenues</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of cash flow hedging instruments, net of 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Amortization of defined benefit pension items </w:t>
            </w:r>
            <w:r>
              <w:rPr>
                <w:rFonts w:ascii="Times New Roman" w:cs="Times New Roman" w:eastAsia="Times New Roman" w:hAnsi="Times New Roman"/>
                <w:sz w:val="10"/>
                <w:szCs w:val="10"/>
                <w:b w:val="1"/>
                <w:bCs w:val="1"/>
                <w:color w:val="auto"/>
              </w:rPr>
              <w:t>(c)</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Defined benefit pension income</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2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Defined benefit pension income</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costs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 of defined benefit pension items,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2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(c)</w:t>
        <w:tab/>
        <w:t>These AOCI components are included in the computation of net periodic pension costs. See Note 9, Employee Benefit Plans, for additional details.</w:t>
      </w:r>
    </w:p>
    <w:p>
      <w:pPr>
        <w:spacing w:after="0" w:line="200" w:lineRule="exact"/>
        <w:rPr>
          <w:sz w:val="20"/>
          <w:szCs w:val="20"/>
          <w:color w:val="auto"/>
        </w:rPr>
      </w:pPr>
    </w:p>
    <w:p>
      <w:pPr>
        <w:spacing w:after="0" w:line="296" w:lineRule="exact"/>
        <w:rPr>
          <w:sz w:val="20"/>
          <w:szCs w:val="20"/>
          <w:color w:val="auto"/>
        </w:rPr>
      </w:pPr>
    </w:p>
    <w:p>
      <w:pPr>
        <w:ind w:left="340" w:right="20" w:hanging="332"/>
        <w:spacing w:after="0" w:line="298" w:lineRule="auto"/>
        <w:tabs>
          <w:tab w:leader="none" w:pos="25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issued 2025 amounts have been revised due to the correction of immaterial errors, as identified in Note 1, Basis of Presentation under "Revision of Previously Issued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4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On June 1, 2026, through the completion of the Transactions, Veolia acquired the Clean Earth segment for aggregate consideration of approximately $3.0 billion, subject to customary adjustments. Of the aggregate consideration, $1.3 billion was paid directly to the stockholders of CE Holdings, the former stockholders of Enviri, and the remaining $1.7 billion was paid to Enviri LLC, as successor by merger to the Company, pursuant to an intercompany note issued by CE Holdings to Enviri LLC in connection with the Reorganization. The $1.7 billion was primarily used to pay off the entirety of the outstanding balances on the Revolving Credit Facility and a portion of the Term Loan, redeem the Senior Notes in full, repay the AR Facility in connection with its termination, pay transaction expenses and retain cash to support Rail's large European engineered-to-order rail contracts.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7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85"/>
        </w:trPr>
        <w:tc>
          <w:tcPr>
            <w:tcW w:w="74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105,617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103,487</w:t>
            </w:r>
          </w:p>
        </w:tc>
        <w:tc>
          <w:tcPr>
            <w:tcW w:w="0" w:type="dxa"/>
            <w:vAlign w:val="bottom"/>
          </w:tcPr>
          <w:p>
            <w:pPr>
              <w:spacing w:after="0"/>
              <w:rPr>
                <w:sz w:val="1"/>
                <w:szCs w:val="1"/>
                <w:color w:val="auto"/>
              </w:rPr>
            </w:pPr>
          </w:p>
        </w:tc>
      </w:tr>
      <w:tr>
        <w:trPr>
          <w:trHeight w:val="80"/>
        </w:trPr>
        <w:tc>
          <w:tcPr>
            <w:tcW w:w="7600" w:type="dxa"/>
            <w:vAlign w:val="bottom"/>
            <w:tcBorders>
              <w:bottom w:val="single" w:sz="8" w:color="CCEEFF"/>
            </w:tcBorders>
            <w:gridSpan w:val="2"/>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21,677</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228,121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220,063</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receivables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93,272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164,505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171,718</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26,968</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51,660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14,118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9,256</w:t>
            </w:r>
          </w:p>
        </w:tc>
        <w:tc>
          <w:tcPr>
            <w:tcW w:w="0" w:type="dxa"/>
            <w:vAlign w:val="bottom"/>
          </w:tcPr>
          <w:p>
            <w:pPr>
              <w:spacing w:after="0"/>
              <w:rPr>
                <w:sz w:val="1"/>
                <w:szCs w:val="1"/>
                <w:color w:val="auto"/>
              </w:rPr>
            </w:pPr>
          </w:p>
        </w:tc>
      </w:tr>
      <w:tr>
        <w:trPr>
          <w:trHeight w:val="297"/>
        </w:trPr>
        <w:tc>
          <w:tcPr>
            <w:tcW w:w="76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705,289</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695,749</w:t>
            </w:r>
          </w:p>
        </w:tc>
        <w:tc>
          <w:tcPr>
            <w:tcW w:w="0" w:type="dxa"/>
            <w:vAlign w:val="bottom"/>
          </w:tcPr>
          <w:p>
            <w:pPr>
              <w:spacing w:after="0"/>
              <w:rPr>
                <w:sz w:val="1"/>
                <w:szCs w:val="1"/>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410,851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424,099</w:t>
            </w:r>
          </w:p>
        </w:tc>
        <w:tc>
          <w:tcPr>
            <w:tcW w:w="0" w:type="dxa"/>
            <w:vAlign w:val="bottom"/>
          </w:tcPr>
          <w:p>
            <w:pPr>
              <w:spacing w:after="0"/>
              <w:rPr>
                <w:sz w:val="1"/>
                <w:szCs w:val="1"/>
                <w:color w:val="auto"/>
              </w:rPr>
            </w:pPr>
          </w:p>
        </w:tc>
      </w:tr>
      <w:tr>
        <w:trPr>
          <w:trHeight w:val="25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30,662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34,267</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374,559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379,381</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15,268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Retirement plan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55,740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55,743</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55,487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53,931</w:t>
            </w: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1,658,385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1,670,647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PARENT COMPANY INVESTMENT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8,699</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11,490</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14,373</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176,207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163,474</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51,259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43,130</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Reserve for forward losses on contracts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56,743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61,037</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advances on contracts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20,839</w:t>
            </w:r>
          </w:p>
        </w:tc>
        <w:tc>
          <w:tcPr>
            <w:tcW w:w="0" w:type="dxa"/>
            <w:vAlign w:val="bottom"/>
          </w:tcPr>
          <w:p>
            <w:pPr>
              <w:spacing w:after="0"/>
              <w:rPr>
                <w:sz w:val="1"/>
                <w:szCs w:val="1"/>
                <w:color w:val="auto"/>
              </w:rPr>
            </w:pPr>
          </w:p>
        </w:tc>
      </w:tr>
      <w:tr>
        <w:trPr>
          <w:trHeight w:val="246"/>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112,850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118,127</w:t>
            </w:r>
          </w:p>
        </w:tc>
        <w:tc>
          <w:tcPr>
            <w:tcW w:w="0" w:type="dxa"/>
            <w:vAlign w:val="bottom"/>
          </w:tcPr>
          <w:p>
            <w:pPr>
              <w:spacing w:after="0"/>
              <w:rPr>
                <w:sz w:val="1"/>
                <w:szCs w:val="1"/>
                <w:color w:val="auto"/>
              </w:rPr>
            </w:pPr>
          </w:p>
        </w:tc>
      </w:tr>
      <w:tr>
        <w:trPr>
          <w:trHeight w:val="250"/>
        </w:trPr>
        <w:tc>
          <w:tcPr>
            <w:tcW w:w="76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458,141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456,451</w:t>
            </w:r>
          </w:p>
        </w:tc>
        <w:tc>
          <w:tcPr>
            <w:tcW w:w="0" w:type="dxa"/>
            <w:vAlign w:val="bottom"/>
          </w:tcPr>
          <w:p>
            <w:pPr>
              <w:spacing w:after="0"/>
              <w:rPr>
                <w:sz w:val="1"/>
                <w:szCs w:val="1"/>
                <w:color w:val="auto"/>
              </w:rPr>
            </w:pPr>
          </w:p>
        </w:tc>
      </w:tr>
      <w:tr>
        <w:trPr>
          <w:trHeight w:val="47"/>
        </w:trPr>
        <w:tc>
          <w:tcPr>
            <w:tcW w:w="7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1,509,007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1,480,072</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Retirement plan liabilities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23,372</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Environmental liabilities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19,105</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47,312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45,527</w:t>
            </w:r>
          </w:p>
        </w:tc>
        <w:tc>
          <w:tcPr>
            <w:tcW w:w="0" w:type="dxa"/>
            <w:vAlign w:val="bottom"/>
          </w:tcPr>
          <w:p>
            <w:pPr>
              <w:spacing w:after="0"/>
              <w:rPr>
                <w:sz w:val="1"/>
                <w:szCs w:val="1"/>
                <w:color w:val="auto"/>
              </w:rPr>
            </w:pPr>
          </w:p>
        </w:tc>
      </w:tr>
      <w:tr>
        <w:trPr>
          <w:trHeight w:val="24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188,988</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182,114</w:t>
            </w:r>
          </w:p>
        </w:tc>
        <w:tc>
          <w:tcPr>
            <w:tcW w:w="0" w:type="dxa"/>
            <w:vAlign w:val="bottom"/>
          </w:tcPr>
          <w:p>
            <w:pPr>
              <w:spacing w:after="0"/>
              <w:rPr>
                <w:sz w:val="1"/>
                <w:szCs w:val="1"/>
                <w:color w:val="auto"/>
              </w:rPr>
            </w:pPr>
          </w:p>
        </w:tc>
      </w:tr>
      <w:tr>
        <w:trPr>
          <w:trHeight w:val="250"/>
        </w:trPr>
        <w:tc>
          <w:tcPr>
            <w:tcW w:w="76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2,274,946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2,239,008</w:t>
            </w:r>
          </w:p>
        </w:tc>
        <w:tc>
          <w:tcPr>
            <w:tcW w:w="0" w:type="dxa"/>
            <w:vAlign w:val="bottom"/>
          </w:tcPr>
          <w:p>
            <w:pPr>
              <w:spacing w:after="0"/>
              <w:rPr>
                <w:sz w:val="1"/>
                <w:szCs w:val="1"/>
                <w:color w:val="auto"/>
              </w:rPr>
            </w:pPr>
          </w:p>
        </w:tc>
      </w:tr>
      <w:tr>
        <w:trPr>
          <w:trHeight w:val="46"/>
        </w:trPr>
        <w:tc>
          <w:tcPr>
            <w:tcW w:w="7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 NET INVESTMENT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320" w:top="114" w:right="7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4" w:right="7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7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85"/>
        </w:trPr>
        <w:tc>
          <w:tcPr>
            <w:tcW w:w="74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parent investment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(155,640)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(99,506)</w:t>
            </w:r>
          </w:p>
        </w:tc>
        <w:tc>
          <w:tcPr>
            <w:tcW w:w="0" w:type="dxa"/>
            <w:vAlign w:val="bottom"/>
          </w:tcPr>
          <w:p>
            <w:pPr>
              <w:spacing w:after="0"/>
              <w:rPr>
                <w:sz w:val="1"/>
                <w:szCs w:val="1"/>
                <w:color w:val="auto"/>
              </w:rPr>
            </w:pPr>
          </w:p>
        </w:tc>
      </w:tr>
      <w:tr>
        <w:trPr>
          <w:trHeight w:val="23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(502,653)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(509,380)</w:t>
            </w:r>
          </w:p>
        </w:tc>
        <w:tc>
          <w:tcPr>
            <w:tcW w:w="0" w:type="dxa"/>
            <w:vAlign w:val="bottom"/>
          </w:tcPr>
          <w:p>
            <w:pPr>
              <w:spacing w:after="0"/>
              <w:rPr>
                <w:sz w:val="1"/>
                <w:szCs w:val="1"/>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41,732</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40,525</w:t>
            </w:r>
          </w:p>
        </w:tc>
        <w:tc>
          <w:tcPr>
            <w:tcW w:w="0" w:type="dxa"/>
            <w:vAlign w:val="bottom"/>
          </w:tcPr>
          <w:p>
            <w:pPr>
              <w:spacing w:after="0"/>
              <w:rPr>
                <w:sz w:val="1"/>
                <w:szCs w:val="1"/>
                <w:color w:val="auto"/>
              </w:rPr>
            </w:pPr>
          </w:p>
        </w:tc>
      </w:tr>
      <w:tr>
        <w:trPr>
          <w:trHeight w:val="244"/>
        </w:trPr>
        <w:tc>
          <w:tcPr>
            <w:tcW w:w="76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 parent company net investment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(616,561)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(568,361)</w:t>
            </w:r>
          </w:p>
        </w:tc>
        <w:tc>
          <w:tcPr>
            <w:tcW w:w="0" w:type="dxa"/>
            <w:vAlign w:val="bottom"/>
          </w:tcPr>
          <w:p>
            <w:pPr>
              <w:spacing w:after="0"/>
              <w:rPr>
                <w:sz w:val="1"/>
                <w:szCs w:val="1"/>
                <w:color w:val="auto"/>
              </w:rPr>
            </w:pPr>
          </w:p>
        </w:tc>
      </w:tr>
      <w:tr>
        <w:trPr>
          <w:trHeight w:val="46"/>
        </w:trPr>
        <w:tc>
          <w:tcPr>
            <w:tcW w:w="7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 and parent company net investment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1,658,385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1,670,647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5"/>
          <w:szCs w:val="15"/>
          <w:color w:val="auto"/>
        </w:rPr>
        <w:t>See accompanying notes to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55" w:right="719"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 (Unaudited)</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from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258,270</w:t>
            </w:r>
          </w:p>
        </w:tc>
        <w:tc>
          <w:tcPr>
            <w:tcW w:w="14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241,609</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65,778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71,444</w:t>
            </w:r>
          </w:p>
        </w:tc>
        <w:tc>
          <w:tcPr>
            <w:tcW w:w="0" w:type="dxa"/>
            <w:vAlign w:val="bottom"/>
          </w:tcPr>
          <w:p>
            <w:pPr>
              <w:spacing w:after="0"/>
              <w:rPr>
                <w:sz w:val="1"/>
                <w:szCs w:val="1"/>
                <w:color w:val="auto"/>
              </w:rPr>
            </w:pPr>
          </w:p>
        </w:tc>
      </w:tr>
      <w:tr>
        <w:trPr>
          <w:trHeight w:val="208"/>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324,048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313,053</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 from continuing operations: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services sold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213,187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198,811</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products sold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62,264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52,378</w:t>
            </w:r>
          </w:p>
        </w:tc>
        <w:tc>
          <w:tcPr>
            <w:tcW w:w="0" w:type="dxa"/>
            <w:vAlign w:val="bottom"/>
          </w:tcPr>
          <w:p>
            <w:pPr>
              <w:spacing w:after="0"/>
              <w:rPr>
                <w:sz w:val="1"/>
                <w:szCs w:val="1"/>
                <w:color w:val="auto"/>
              </w:rPr>
            </w:pPr>
          </w:p>
        </w:tc>
      </w:tr>
      <w:tr>
        <w:trPr>
          <w:trHeight w:val="214"/>
        </w:trPr>
        <w:tc>
          <w:tcPr>
            <w:tcW w:w="7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43,188</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12,722</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333,181</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299,122</w:t>
            </w:r>
          </w:p>
        </w:tc>
        <w:tc>
          <w:tcPr>
            <w:tcW w:w="0" w:type="dxa"/>
            <w:vAlign w:val="bottom"/>
          </w:tcPr>
          <w:p>
            <w:pPr>
              <w:spacing w:after="0"/>
              <w:rPr>
                <w:sz w:val="1"/>
                <w:szCs w:val="1"/>
                <w:color w:val="auto"/>
              </w:rPr>
            </w:pPr>
          </w:p>
        </w:tc>
      </w:tr>
      <w:tr>
        <w:trPr>
          <w:trHeight w:val="208"/>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Operating income (loss) from continuing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(9,133)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13,931</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(26,687)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Facility fees and debt-related income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Defined benefit pension income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 and equity in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0" w:type="dxa"/>
            <w:vAlign w:val="bottom"/>
          </w:tcPr>
          <w:p>
            <w:pPr>
              <w:spacing w:after="0"/>
              <w:rPr>
                <w:sz w:val="1"/>
                <w:szCs w:val="1"/>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from continuing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entities,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71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(47,006)</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(22,220)</w:t>
            </w:r>
          </w:p>
        </w:tc>
        <w:tc>
          <w:tcPr>
            <w:tcW w:w="0" w:type="dxa"/>
            <w:vAlign w:val="bottom"/>
          </w:tcPr>
          <w:p>
            <w:pPr>
              <w:spacing w:after="0"/>
              <w:rPr>
                <w:sz w:val="1"/>
                <w:szCs w:val="1"/>
                <w:color w:val="auto"/>
              </w:rPr>
            </w:pPr>
          </w:p>
        </w:tc>
      </w:tr>
      <w:tr>
        <w:trPr>
          <w:trHeight w:val="19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businesses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 (expense) from discontinued businesses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discontinued operations, net of tax</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(1,558)</w:t>
            </w: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(48,564)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35"/>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New Enviri</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(49,691)</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New Enviri:</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(loss) from continuing operations, net of tax</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(48,133)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income (loss) attributable to New Enviri</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(49,691)</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See accompanying notes to unaudited condensed combined financial statements.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55" w:right="1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(48,564)</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0" w:type="dxa"/>
            <w:vAlign w:val="bottom"/>
          </w:tcPr>
          <w:p>
            <w:pPr>
              <w:spacing w:after="0"/>
              <w:rPr>
                <w:sz w:val="1"/>
                <w:szCs w:val="1"/>
                <w:color w:val="auto"/>
              </w:rPr>
            </w:pPr>
          </w:p>
        </w:tc>
      </w:tr>
      <w:tr>
        <w:trPr>
          <w:trHeight w:val="21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adjustments, net of deferred income taxes of $— and $11 in 2026</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2025, respectively</w:t>
            </w:r>
          </w:p>
        </w:tc>
        <w:tc>
          <w:tcPr>
            <w:tcW w:w="3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0" w:type="dxa"/>
            <w:vAlign w:val="bottom"/>
          </w:tcPr>
          <w:p>
            <w:pPr>
              <w:spacing w:after="0"/>
              <w:rPr>
                <w:sz w:val="1"/>
                <w:szCs w:val="1"/>
                <w:color w:val="auto"/>
              </w:rPr>
            </w:pPr>
          </w:p>
        </w:tc>
      </w:tr>
      <w:tr>
        <w:trPr>
          <w:trHeight w:val="176"/>
        </w:trPr>
        <w:tc>
          <w:tcPr>
            <w:tcW w:w="72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Net gain (loss) on cash flow hedging instruments, net of deferred income taxes of $13 and $(60)</w:t>
            </w: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2026 and 2025, respectively</w:t>
            </w:r>
          </w:p>
        </w:tc>
        <w:tc>
          <w:tcPr>
            <w:tcW w:w="3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176"/>
        </w:trPr>
        <w:tc>
          <w:tcPr>
            <w:tcW w:w="72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 securities, net of deferred income taxes of $— and $1 in</w:t>
            </w:r>
          </w:p>
        </w:tc>
        <w:tc>
          <w:tcPr>
            <w:tcW w:w="340" w:type="dxa"/>
            <w:vAlign w:val="bottom"/>
          </w:tcPr>
          <w:p>
            <w:pPr>
              <w:spacing w:after="0"/>
              <w:rPr>
                <w:sz w:val="15"/>
                <w:szCs w:val="15"/>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2026 and 2025, respectively</w:t>
            </w:r>
          </w:p>
        </w:tc>
        <w:tc>
          <w:tcPr>
            <w:tcW w:w="3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6,807</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(41,757)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New Enviri</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(42,964)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See accompanying notes to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55" w:right="7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(48,564)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29,325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7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(income) loss of unconsolidated entities,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9"/>
        </w:trPr>
        <w:tc>
          <w:tcPr>
            <w:tcW w:w="7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dispositions of businesses: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0" w:type="dxa"/>
            <w:vAlign w:val="bottom"/>
          </w:tcPr>
          <w:p>
            <w:pPr>
              <w:spacing w:after="0"/>
              <w:rPr>
                <w:sz w:val="1"/>
                <w:szCs w:val="1"/>
                <w:color w:val="auto"/>
              </w:rPr>
            </w:pPr>
          </w:p>
        </w:tc>
      </w:tr>
      <w:tr>
        <w:trPr>
          <w:trHeight w:val="230"/>
        </w:trPr>
        <w:tc>
          <w:tcPr>
            <w:tcW w:w="7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0" w:type="dxa"/>
            <w:vAlign w:val="bottom"/>
          </w:tcPr>
          <w:p>
            <w:pPr>
              <w:spacing w:after="0"/>
              <w:rPr>
                <w:sz w:val="1"/>
                <w:szCs w:val="1"/>
                <w:color w:val="auto"/>
              </w:rPr>
            </w:pPr>
          </w:p>
        </w:tc>
      </w:tr>
      <w:tr>
        <w:trPr>
          <w:trHeight w:val="229"/>
        </w:trPr>
        <w:tc>
          <w:tcPr>
            <w:tcW w:w="7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9"/>
        </w:trPr>
        <w:tc>
          <w:tcPr>
            <w:tcW w:w="7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Advances on contracts and other customer advances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7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Retirement plan liabilities,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used by operating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(13,389)</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proceeds (payments) from settlement of foreign currency forward exchange contracts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50"/>
        </w:trPr>
        <w:tc>
          <w:tcPr>
            <w:tcW w:w="7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0" w:type="dxa"/>
            <w:vAlign w:val="bottom"/>
          </w:tcPr>
          <w:p>
            <w:pPr>
              <w:spacing w:after="0"/>
              <w:rPr>
                <w:sz w:val="1"/>
                <w:szCs w:val="1"/>
                <w:color w:val="auto"/>
              </w:rPr>
            </w:pPr>
          </w:p>
        </w:tc>
      </w:tr>
      <w:tr>
        <w:trPr>
          <w:trHeight w:val="20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30"/>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transfers (to)/from Parent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from related party notes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0" w:type="dxa"/>
            <w:vAlign w:val="bottom"/>
          </w:tcPr>
          <w:p>
            <w:pPr>
              <w:spacing w:after="0"/>
              <w:rPr>
                <w:sz w:val="1"/>
                <w:szCs w:val="1"/>
                <w:color w:val="auto"/>
              </w:rPr>
            </w:pPr>
          </w:p>
        </w:tc>
      </w:tr>
      <w:tr>
        <w:trPr>
          <w:trHeight w:val="229"/>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Borrowings and repayments under Revolving Credit Facility,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31,000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Term Loan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finance leases and other long-term debt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(2,721)</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28,604</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46,724</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including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125,164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89,892</w:t>
            </w:r>
          </w:p>
        </w:tc>
        <w:tc>
          <w:tcPr>
            <w:tcW w:w="0" w:type="dxa"/>
            <w:vAlign w:val="bottom"/>
          </w:tcPr>
          <w:p>
            <w:pPr>
              <w:spacing w:after="0"/>
              <w:rPr>
                <w:sz w:val="1"/>
                <w:szCs w:val="1"/>
                <w:color w:val="auto"/>
              </w:rPr>
            </w:pPr>
          </w:p>
        </w:tc>
      </w:tr>
      <w:tr>
        <w:trPr>
          <w:trHeight w:val="23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including restricted cash,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121,396</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104,087</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6"/>
          <w:szCs w:val="16"/>
          <w:color w:val="auto"/>
        </w:rPr>
        <w:t>See accompanying notes to unaudited condensed combined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55" w:right="71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PARENT COMPANY NET INVESTMENT (Unaudited)</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Parent</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Net Parent</w:t>
            </w:r>
          </w:p>
        </w:tc>
        <w:tc>
          <w:tcPr>
            <w:tcW w:w="100" w:type="dxa"/>
            <w:vAlign w:val="bottom"/>
          </w:tcPr>
          <w:p>
            <w:pPr>
              <w:spacing w:after="0"/>
              <w:rPr>
                <w:sz w:val="5"/>
                <w:szCs w:val="5"/>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Parent</w:t>
            </w:r>
          </w:p>
        </w:tc>
        <w:tc>
          <w:tcPr>
            <w:tcW w:w="100" w:type="dxa"/>
            <w:vAlign w:val="bottom"/>
          </w:tcPr>
          <w:p>
            <w:pPr>
              <w:spacing w:after="0"/>
              <w:rPr>
                <w:sz w:val="5"/>
                <w:szCs w:val="5"/>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Company Net</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5"/>
                <w:szCs w:val="5"/>
                <w:color w:val="auto"/>
              </w:rPr>
            </w:pPr>
          </w:p>
        </w:tc>
        <w:tc>
          <w:tcPr>
            <w:tcW w:w="12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5"/>
                <w:szCs w:val="5"/>
                <w:color w:val="auto"/>
              </w:rPr>
            </w:pPr>
          </w:p>
        </w:tc>
        <w:tc>
          <w:tcPr>
            <w:tcW w:w="11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12"/>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5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(528,062)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(476,230)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(438,079)</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(23,799)</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Total other comprehensive income (loss), net of deferred income taxes of</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5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unearned portion of stock-based compensation, net of</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9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Parent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w:t>
            </w:r>
          </w:p>
        </w:tc>
        <w:tc>
          <w:tcPr>
            <w:tcW w:w="0" w:type="dxa"/>
            <w:vAlign w:val="bottom"/>
          </w:tcPr>
          <w:p>
            <w:pPr>
              <w:spacing w:after="0"/>
              <w:rPr>
                <w:sz w:val="1"/>
                <w:szCs w:val="1"/>
                <w:color w:val="auto"/>
              </w:rPr>
            </w:pPr>
          </w:p>
        </w:tc>
      </w:tr>
      <w:tr>
        <w:trPr>
          <w:trHeight w:val="18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(522,850)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(482,942)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(443,223)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Parent</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Net Parent</w:t>
            </w:r>
          </w:p>
        </w:tc>
        <w:tc>
          <w:tcPr>
            <w:tcW w:w="100" w:type="dxa"/>
            <w:vAlign w:val="bottom"/>
          </w:tcPr>
          <w:p>
            <w:pPr>
              <w:spacing w:after="0"/>
              <w:rPr>
                <w:sz w:val="5"/>
                <w:szCs w:val="5"/>
                <w:color w:val="auto"/>
              </w:rPr>
            </w:pPr>
          </w:p>
        </w:tc>
        <w:tc>
          <w:tcPr>
            <w:tcW w:w="12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Total Parent</w:t>
            </w:r>
          </w:p>
        </w:tc>
        <w:tc>
          <w:tcPr>
            <w:tcW w:w="100" w:type="dxa"/>
            <w:vAlign w:val="bottom"/>
          </w:tcPr>
          <w:p>
            <w:pPr>
              <w:spacing w:after="0"/>
              <w:rPr>
                <w:sz w:val="5"/>
                <w:szCs w:val="5"/>
                <w:color w:val="auto"/>
              </w:rPr>
            </w:pPr>
          </w:p>
        </w:tc>
        <w:tc>
          <w:tcPr>
            <w:tcW w:w="11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Company Net</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5"/>
                <w:szCs w:val="5"/>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5"/>
                <w:szCs w:val="5"/>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09"/>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5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(99,506)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(509,380)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(608,886)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40,525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(568,361)</w:t>
            </w:r>
          </w:p>
        </w:tc>
        <w:tc>
          <w:tcPr>
            <w:tcW w:w="0" w:type="dxa"/>
            <w:vAlign w:val="bottom"/>
          </w:tcPr>
          <w:p>
            <w:pPr>
              <w:spacing w:after="0"/>
              <w:rPr>
                <w:sz w:val="1"/>
                <w:szCs w:val="1"/>
                <w:color w:val="auto"/>
              </w:rPr>
            </w:pP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(48,564)</w:t>
            </w:r>
          </w:p>
        </w:tc>
        <w:tc>
          <w:tcPr>
            <w:tcW w:w="0" w:type="dxa"/>
            <w:vAlign w:val="bottom"/>
          </w:tcPr>
          <w:p>
            <w:pPr>
              <w:spacing w:after="0"/>
              <w:rPr>
                <w:sz w:val="1"/>
                <w:szCs w:val="1"/>
                <w:color w:val="auto"/>
              </w:rPr>
            </w:pPr>
          </w:p>
        </w:tc>
      </w:tr>
      <w:tr>
        <w:trPr>
          <w:trHeight w:val="145"/>
        </w:trPr>
        <w:tc>
          <w:tcPr>
            <w:tcW w:w="45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Total other comprehensive income (loss), net of deferred income taxes of</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6,807</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5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unearned portion of stock-based compensation, net of</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c>
          <w:tcPr>
            <w:tcW w:w="0" w:type="dxa"/>
            <w:vAlign w:val="bottom"/>
          </w:tcPr>
          <w:p>
            <w:pPr>
              <w:spacing w:after="0"/>
              <w:rPr>
                <w:sz w:val="1"/>
                <w:szCs w:val="1"/>
                <w:color w:val="auto"/>
              </w:rPr>
            </w:pPr>
          </w:p>
        </w:tc>
      </w:tr>
      <w:tr>
        <w:trPr>
          <w:trHeight w:val="19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Parent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0" w:type="dxa"/>
            <w:vAlign w:val="bottom"/>
          </w:tcPr>
          <w:p>
            <w:pPr>
              <w:spacing w:after="0"/>
              <w:rPr>
                <w:sz w:val="1"/>
                <w:szCs w:val="1"/>
                <w:color w:val="auto"/>
              </w:rPr>
            </w:pPr>
          </w:p>
        </w:tc>
      </w:t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(155,640)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(502,653)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(658,293)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41,732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(616,561)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See accompanying notes to unaudited condensed combined financial statements.</w:t>
      </w:r>
    </w:p>
    <w:p>
      <w:pPr>
        <w:spacing w:after="0" w:line="200" w:lineRule="exact"/>
        <w:rPr>
          <w:sz w:val="20"/>
          <w:szCs w:val="20"/>
          <w:color w:val="auto"/>
        </w:rPr>
      </w:pPr>
    </w:p>
    <w:p>
      <w:pPr>
        <w:spacing w:after="0" w:line="3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55"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ENVIRI</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5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present, on a historical cost basis, the combined assets and liabilities of New Enviri, which comprises substantially all of the Harsco Environmental and Harsco Rail segments of Enviri Corporation.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segments and the types of products and services offered include the following: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Harsco Environmental</w:t>
      </w:r>
    </w:p>
    <w:p>
      <w:pPr>
        <w:spacing w:after="0" w:line="18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HE is a global provider of on-site environmental services for the management of waste and byproduct streams from our customers, which includes resource recovery and recycling of waste materials, materials handling and logistical support and aluminum dross and scrap management. HE also manufactures value-added downstream products from industrial waste streams, or ecoproducts, which includes road surfacing materials, metallurgical additives, agriculture and turf products and cement additives.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Harsco Rail</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Rail is a global provider of railway track maintenance equipment and services. Rail’s products include highly engineered railway track maintenance equipment, after-market parts and safety and diagnostics technology systems. In addition, Rail provides railway maintenance services to major railways, mass transit systems and equipment leasing companies.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New Enviri has prepared these unaudited Condensed Combined Financial Statements as of May 11, 2026 and in accordance with U.S. GAAP for interim financial information and with the instructions to Form 10-Q and Rule 10-01 of Regulation S-X of the SEC. Accordingly, the unaudited Condensed Combined Financial Statements do not include all information and disclosure required by U.S. GAAP for annual financial statements. The December 31, 2025 Condensed Combined Balance Sheets information contained in this Quarterly Report on Form 10-Q was derived from the 2025 audited Combined Financial Statements. These unaudited Condensed Combined Financial Statements should be read in conjunction with the audited combined financial statements, including the notes thereto, included in New Enviri's Information Statement (the "Information Statement"), dated May 8, 2026, attached as Exhibit 99.1 to New Enviri's Current Report on Form 8-K furnished to the SEC on May 11, 2026. In the opinion of management, all adjustments (all of which are of a normal recurring nature) that are necessary for a fair statement are reflected in these unaudited Condensed Combined Financial Statements. The operations comprising New Enviri are in two segments – HE and Rail, all of which are wholly owned by Enviri. Accordingly, Enviri’s net investment in these operations is shown in lieu of stockholders' equity in the Condensed Combined Financial Statements.</w:t>
      </w:r>
    </w:p>
    <w:p>
      <w:pPr>
        <w:spacing w:after="0" w:line="14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New Enviri comprises certain stand-alone reportable segments for which discrete financial information is available. As Enviri records transactions at the legal entity level, for the shared entities for which discrete financial information was not available, allocation methodologies were applied to certain accounts to allocate amounts to New Enviri as discussed further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Combined Statements of Operations include all revenues and costs directly attributable to New Enviri as well as an allocation of expenses related to facilities, functions and services provided by our Parent. These corporate expenses have been allocated to New Enviri based on direct usage or benefit, where identifiable, with the remainder allocated based on revenues or headcount. Management of New Enviri and Parent consider these allocations to be a reasonable reflection of the utilization of services by, or the benefits provided to, New Enviri. The allocations may not, however, reflect the expense New Enviri would have incurred as a stand-alone company for the periods presented. Actual costs that would have been incurred if New Enviri had been a stand-alone company would depend on multiple factors, including organizational structure and strategic decisions made in various areas, such as the division of shared services in corporate stewardship, legal, finance, human resources, information systems and marketing, among others. See Note 17, Relationship with Parent and Related Entities. The allocated costs are deemed to be settled by New Enviri to the Parent in the period in which the expense was recorded in the Condensed Combined Statements of Operations. The Condensed Combined Statements of Cash Flows present these corporate expenses as cash flows from operating activities, as these costs were incurred by our Parent. Current and deferred income taxes and related tax expense have been determined based on the stand-alone results of New Enviri by applying Accounting Standards Codification No. 740, Income Taxes (“ASC 740”), to New Enviri’s operations in each country as if it were a separate taxpayer (i.e., following the Separate Return Methodology).</w:t>
      </w:r>
    </w:p>
    <w:p>
      <w:pPr>
        <w:spacing w:after="0" w:line="13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Condensed Combined Financial Statements include all assets and liabilities that reside in New Enviri legal entities. Assets and liabilities in shared entities were included in the stand-alone financial statements to the extent the asset is primarily used by New Enviri. If New Enviri is not the primary user of the asset or liability, it was excluded entirely from the Condensed Combined Financial Statements. The Parent uses a transaction perimeter approach to cash management and financing its operations. Accordingly, all cash and cash equivalents, related party notes payables, and related interest expense related to New Enviri have been attributed to New Enviri in the Condensed Combined Financial Statements. Any such items which exist in other entities, whether shared or otherwise, are outside of the control of New Enviri and have been excluded from the Condensed Combined Financial Statements.</w:t>
      </w:r>
    </w:p>
    <w:p>
      <w:pPr>
        <w:spacing w:after="0" w:line="133"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Our Parent maintains various stock-based compensation plans at a corporate level. New Enviri employees participate in those programs and a portion of the compensation cost associated with those plans is included in New Enviri’s Condensed Combined Statements of Operations. Also, the stock-based compensation expense has been included within Parent company net investment on the Condensed Combined Statements of Changes in Parent Company Net Investment. The amounts presented in the Condensed Combined Financial Statements are not necessarily indicative of future awards and may not reflect the results that New Enviri would have experienced as a separate, stand-alone company. See Note 17, Relationship with Parent and Related Entities.</w:t>
      </w:r>
    </w:p>
    <w:p>
      <w:pPr>
        <w:spacing w:after="0" w:line="11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Parent’s third-party debt and the related interest have been recorded to New Enviri for all periods presented, as New Enviri is responsible for these obligations. The debt was incurred specifically for purposes related to New Enviri’s operations and is directly attributable to New Enviri. Furthermore, the legal entities within New Enviri are responsible for guaranteeing and servicing the debt, and are not jointly and severally liable for any of Parent’s other outstanding obligations.</w:t>
      </w:r>
    </w:p>
    <w:p>
      <w:pPr>
        <w:spacing w:after="0" w:line="12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Any transactions which have been included in the Condensed Combined Financial Statements from legal entities which are not exclusively operating as New Enviri are considered to be effectively settled in the Condensed Combined Financial Statements at the time the transaction is recorded between Parent and New Enviri. The total net effect of the settlement of these intercompany transactions is reflected in the Condensed Combined Statements of Cash Flows as a financing activity and in the Condensed Combined Balance Sheets as Parent company net investment. Other transactions between New Enviri and other Parent segments, to the extent such transactions have not been settled in cash as of the period-end date, are reflected in the Condensed Combined Balance Sheets as related party notes payables.</w:t>
      </w:r>
    </w:p>
    <w:p>
      <w:pPr>
        <w:spacing w:after="0" w:line="133"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All of the allocations and estimates in the Condensed Combined Financial Statements are based on assumptions that management believes are reasonable. However, the Condensed Combined Financial Statements included herein may not be indicative of the financial position, results of operations, and cash flows of New Enviri in the future or if New Enviri had been a separate, stand-alone publicly traded entity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Recently Adopted and Recently Issued Accounting Standards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accounting standards were adopted during the three months ended March 31, 2026:</w:t>
      </w:r>
    </w:p>
    <w:p>
      <w:pPr>
        <w:spacing w:after="0" w:line="18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New Enviri adopted a change issued by the FASB that provides an optional practical expedient for estimating future credit losses on current accounts receivable and current contract assets that arise from certain contracts with customers. The adoption of this change did not have a material impact on New Enviri's financial statements.</w:t>
      </w:r>
    </w:p>
    <w:p>
      <w:pPr>
        <w:spacing w:after="0" w:line="12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New Enviri adopted changes issued by the FASB, which required greater disaggregation of income tax disclosures, related to the income tax rate reconciliation and income taxes paid for each annual reporting period. New Enviri applied the new disclosure requirements prospectively to its audited combined financial statements in the Information Statement for the year ended December 31, 2025.The adoption of these changes did not have a material impact on New Enviri’s combined financial statements.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accounting standards have been issued and become effective for New Enviri at a future date:</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an update that provides authoritative guidance on the recognition, measurement and presentation of government grants received by business entities. This update defines government grants and establishes recognition criteria and disclosure requirements. This update becomes effective starting with New Enviri's annual financial statements for the year ended December 31, 2028 and includes the interim periods within each annual reporting period. Early adoption is permitted. New Enviri is currently evaluating the impact that this update will have on New Enviri's financial statements.</w:t>
      </w:r>
    </w:p>
    <w:p>
      <w:pPr>
        <w:spacing w:after="0" w:line="1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changes which require disaggregated disclosure of income statement expenses within the footnotes to the financial statement for each interim and annual reporting period. The changes become effective starting with New Enviri's annual financial statements for the year ended December 31, 2027 and will be in effect for New Enviri's interim financial statements after December 31, 2027. The guidance should be applied on a prospective basis with the option to apply the standard retrospectively. Early adoption is permitted. New Enviri is currently evaluating the impact that this change will have on its disclosures.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Trade Accounts Receivables and Other receivables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7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237,688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229,687</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228,121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receivables (a)</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93,272</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88,024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440" w:hanging="328"/>
        <w:spacing w:after="0" w:line="342" w:lineRule="auto"/>
        <w:tabs>
          <w:tab w:leader="none" w:pos="6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receivables include receivables held for the AR securitization purchased from the Enviri Clean Earth segment, employee receivables, insurance receivable, tax claims and refunds and other miscellaneous items not included in Trade accounts receivable, net.</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provision for expected credit losses related to trade accounts receivable was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3"/>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gridSpan w:val="2"/>
            <w:vMerge w:val="continue"/>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provision for expected credit losses</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324"/>
        <w:spacing w:after="0" w:line="313" w:lineRule="auto"/>
        <w:rPr>
          <w:sz w:val="20"/>
          <w:szCs w:val="20"/>
          <w:color w:val="auto"/>
        </w:rPr>
      </w:pPr>
      <w:r>
        <w:rPr>
          <w:rFonts w:ascii="Times New Roman" w:cs="Times New Roman" w:eastAsia="Times New Roman" w:hAnsi="Times New Roman"/>
          <w:sz w:val="18"/>
          <w:szCs w:val="18"/>
          <w:color w:val="auto"/>
        </w:rPr>
        <w:t>At March 31, 2026, $7.5 million of New Enviri's trade accounts receivable were past due by twelve months or more, with $5.7 million of this amount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Securitization Facility</w:t>
      </w:r>
    </w:p>
    <w:p>
      <w:pPr>
        <w:spacing w:after="0" w:line="20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June 2022, New Enviri and its SPE entered into an AR Facility with PNC Bank, National Association ("PNC") to accelerate cash flows from trade accounts receivable. On October 1, 2024, New Enviri renewed the AR Facility for a three-year term expiring in October 2027. The maximum purchase commitment by PNC was $160.0 million, as amended in February 2025.</w:t>
      </w:r>
    </w:p>
    <w:p>
      <w:pPr>
        <w:spacing w:after="0" w:line="12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total outstanding balance of trade receivables that have been sold and derecognized by the SPE was $160.0 million as of March 31, 2026 and December 31, 2025, respectively. The SPE owned $57.9 million and $47.5 million of trade receivables as of March 31, 2026 and December 31, 2025, respectively, which are included in the caption Other receivables, on the unaudited Condensed Combined Balance Sheets.</w:t>
      </w:r>
    </w:p>
    <w:p>
      <w:pPr>
        <w:spacing w:after="0" w:line="12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No proceeds were received from the AR Facility during the three months ended March 31, 2026. New Enviri received proceeds of $10.0 million during the three months ended March 31, 2025.</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Historically, the Clean Earth segment of Enviri participated in the AR Facility and transferred Clean Earth trade receivables to the SPE. This arrangement was captured using various intercompany transactions. As Clean Earth is not a segment within New Enviri, a related party relationship exists between the businesses. Related party notes payables at March 31, 2026 and December 31, 2025 were approximately $189.0 million and $182.1 million, respectively. See Note 17, Relationship with Parent and Related Entities footnote for additional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Factoring Arrangements</w:t>
      </w:r>
    </w:p>
    <w:p>
      <w:pPr>
        <w:spacing w:after="0" w:line="18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New Enviri maintains factoring arrangements with a financial institution to sell certain accounts receivable that are also accounted for as a sale of financial assets. The following table reflects balances for net amounts sold and program capacities for the arrangements:</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4480" w:type="dxa"/>
            <w:vAlign w:val="bottom"/>
          </w:tcPr>
          <w:p>
            <w:pPr>
              <w:jc w:val="center"/>
              <w:ind w:left="30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sold under factoring arrangements</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8"/>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Program capacities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720"/>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5"/>
        </w:trPr>
        <w:tc>
          <w:tcPr>
            <w:tcW w:w="7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r>
      <w:tr>
        <w:trPr>
          <w:trHeight w:val="230"/>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w:t>
            </w:r>
          </w:p>
        </w:tc>
      </w:tr>
      <w:tr>
        <w:trPr>
          <w:trHeight w:val="229"/>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r>
      <w:tr>
        <w:trPr>
          <w:trHeight w:val="230"/>
        </w:trPr>
        <w:tc>
          <w:tcPr>
            <w:tcW w:w="7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Stores and supplies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39,996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r>
      <w:tr>
        <w:trPr>
          <w:trHeight w:val="248"/>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PP&amp;E consist of the following:</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728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1,481,197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Uncompleted construction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1,693,721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(1,282,870)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(1,281,302)</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410,851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424,099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2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7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8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20" w:type="dxa"/>
            <w:vAlign w:val="bottom"/>
          </w:tcPr>
          <w:p>
            <w:pPr>
              <w:spacing w:after="0"/>
              <w:rPr>
                <w:sz w:val="19"/>
                <w:szCs w:val="19"/>
                <w:color w:val="auto"/>
              </w:rPr>
            </w:pP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37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New Enviri tests for goodwill impairment annually, or more frequently if indicators of impairment exist, or if a decision is made to dispose of a business. New Enviri performs its annual goodwill impairment test as of October 1 and monitors for triggering events on an ongoing basis.</w:t>
      </w:r>
    </w:p>
    <w:p>
      <w:pPr>
        <w:spacing w:after="0" w:line="108"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New Enviri determined that there were no events or indicators present that would indicate that it was more-likely-than-not that its reporting units' fair values were less than their carrying amounts, which would require a further interim impairment analysis. However, unfavorable economic conditions, including tariffs and continued cost inflation, could impact the New Enviri's future projected cash flows and discount rates used to estimate fair value, which could result in an impairment charge to any of the New Enviri's reporting units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 Debt and Credit Agreements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4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29"/>
        </w:trPr>
        <w:tc>
          <w:tcPr>
            <w:tcW w:w="7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1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476,250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477,500</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526,000</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5.75% Senior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payable (including finance leases) in varying amounts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1,532,857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1,505,263</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obligations, net of deferred financing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1,494,445</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1,509,007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1,480,072</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February 2026, the Company amended its Senior Secured Credit Facilities to extend the maturity date of its $50.0 million non-extended revolving credit facility from March 10, 2026 to the earlier of (i) July 1, 2026 and (ii) the date on which the Company's Clean Earth segment is sold to Veolia in connection with the Company's Agreement and Plan of Merger, dated November 20, 2025, by and among the Company, CLEH, Inc., Enviri LLC, Veolia and Liberty Merger Sub Inc.</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2025, the Company entered into an amendment to the Credit Agreement to, among other things, modify certain levels of its total Net Debt to Consolidated Adjusted EBITDA ratio covenant and permit a distribution of the Company’s Clean Earth business, together with certain related transactions, including repayments of certain of the Company's existing indebtedness. The Company obtained the amendment because its forward-looking projections indicated that it may not meet the minimum level required by the net leverage coverage ratio and to allow for the strategic alternatives it is currently evaluating. As a result of this amendment, the total Net Debt to Consolidated Adjusted EBITDA ratio covenant was set to 5.50x for the quarters ended March 31, 2026, June 30, 2026 and September 30, 2026, 5.00x for the quarter ended December 31, 2026 and 4.50x for the quarter ended March 31, 2027. After giving effect to the distribution of the Company’s Clean Earth business, the total Net Debt to Consolidated Adjusted EBITDA ratio covenant will be set at 3.00x. New Enviri expects that it will maintain compliance with the amended covenants based on current forecasts. New Enviri capitalized $1.8 million of fees incurred related to the amendment.</w:t>
      </w:r>
    </w:p>
    <w:p>
      <w:pPr>
        <w:spacing w:after="0" w:line="13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February 2025, the Company entered into an amendment to the Credit Agreement to reset the levels of its covenants, among other changes. As a result of this amendment, the total Net Debt to Consolidated Adjusted EBITDA ratio covenant was set to 5.00x for the quarter ended September 30, 2025, and then decreases every six months by 0.25x until reaching 4.00x for the quarter ended June 30, 2027 and thereafter. These covenants were amended as noted in the preceding paragraph. The interest coverage ratio was set to a minimum of 2.50x for each quarter ended after December 31, 2024.</w:t>
      </w:r>
    </w:p>
    <w:p>
      <w:pPr>
        <w:spacing w:after="0" w:line="126"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imposes certain restrictions including, but not limited to, restrictions as to types and amounts of debt of liens that may be incurred by New Enviri; limitations on increases in dividend payments; limitations on repurchases of New Enviri's stock and limitations on certain acquisitions by New Enviri.</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Senior Secured Credit Facilities, the obligations of New Enviri are guaranteed by substantially all of New Enviri’s current and future wholly-owned domestic subsidiaries (“Guarantors”). All obligations under the Senior Credit Facility, and the guarantees of those obligations, are secured, subject to certain exceptions, by substantially all of New Enviri’s assets and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requires certain mandatory prepayments of the Term Loan, subject to certain exceptions, based on net cash proceeds of certain sales or distributions of assets, as well as certain casualty and condemnation events, in some cases subject to reinvestment rights and certain other exceptions; net cash proceeds of any issuance of debt, excluding permitted debt issuances; and a percentage of excess cash flow, as defined by the Credit Agreement, during a fiscal year.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Facility Fees and Debt-Related Income (Expense)</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components of the Condensed Combined Statements of Operations caption Facility fees and debt-related income (expense) were as follows: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40" w:type="dxa"/>
            <w:vAlign w:val="bottom"/>
            <w:vMerge w:val="continue"/>
          </w:tcPr>
          <w:p>
            <w:pPr>
              <w:spacing w:after="0"/>
              <w:rPr>
                <w:sz w:val="15"/>
                <w:szCs w:val="15"/>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debt commitment and amendment fees</w:t>
            </w:r>
          </w:p>
        </w:tc>
        <w:tc>
          <w:tcPr>
            <w:tcW w:w="2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Securitization and factoring fees</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fees and debt-related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53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 Plans Net Periodic Pension Cost (Benefit)</w:t>
            </w: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International Plans</w:t>
            </w:r>
          </w:p>
        </w:tc>
        <w:tc>
          <w:tcPr>
            <w:tcW w:w="0" w:type="dxa"/>
            <w:vAlign w:val="bottom"/>
          </w:tcPr>
          <w:p>
            <w:pPr>
              <w:spacing w:after="0"/>
              <w:rPr>
                <w:sz w:val="1"/>
                <w:szCs w:val="1"/>
                <w:color w:val="auto"/>
              </w:rPr>
            </w:pPr>
          </w:p>
        </w:tc>
      </w:tr>
      <w:tr>
        <w:trPr>
          <w:trHeight w:val="19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prior service costs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net periodic pension cost (benefit)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Cash contributions to U.S. and international defined benefit pension plans totaled $0.4 million and $0.2 million for the three months ended March 31, 2026, respectively. New Enviri's estimate of expected cash contributions to be paid during the remainder of 2026 for the U.S. and international defined benefit pension plans is $1.2 million and $0.7 million, respectively.</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from continuing operations for each of the three months ended March 31, 2026 and March 31, 2025 was $5.4 million and $3.3 million, respectively. Income tax expense for the three months ended March 31, 2026 increased compared to income tax expense for the three months ended March 31, 2025 primarily due to change in mix of income.</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reserve for uncertain tax positions on March 31, 2026 and December 31, 2025 was $2.4 million and $3.1 million, respectively, including interest and penalties. Within the next twelve months, it is reasonably possible that $0.4 million in unrecognized income tax benefits will be recognized upon settlement of tax examinations and the expiration of various statutes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right="8080" w:hanging="8"/>
        <w:spacing w:after="0" w:line="471" w:lineRule="auto"/>
        <w:tabs>
          <w:tab w:leader="none" w:pos="61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Environmental</w:t>
      </w:r>
    </w:p>
    <w:p>
      <w:pPr>
        <w:spacing w:after="0" w:line="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New Enviri is involved in a number of environmental remediation investigations and cleanups and, along with other companies, has been identified as a potentially responsible party ("PRP") for certain byproduct disposal sites. While each of these matters is subject to various uncertainties, it is probable that New Enviri will agree to make payments toward funding certain of these activities, and it is possible that some of these matters will be decided unfavorably to New Enviri. New Enviri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New Enviri evaluates its liability for future environmental remediation costs on a quarterly basis. Although actual costs to be incurred at identified sites in future periods may vary from the estimates, given inherent uncertainties in evaluating environmental exposures, New Enviri does not expect that any costs that are reasonably possible to be incurred by New Enviri in connection with environmental matters in excess of the amounts accrued would have a material effect on New Enviri's financial condition, results of operations or cash flows.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location and undiscounted amount of New Enviri's environmental liabilities: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environmental liabilities (a)</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r>
      <w:tr>
        <w:trPr>
          <w:trHeight w:val="23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environmental 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19,105</w:t>
            </w:r>
          </w:p>
        </w:tc>
      </w:tr>
      <w:tr>
        <w:trPr>
          <w:trHeight w:val="248"/>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color w:val="auto"/>
        </w:rPr>
        <w:t>(a)</w:t>
        <w:tab/>
        <w:t>The current portion of environmental liabilities is included in the caption Other current liabilities on the Condensed Combined Balance Sheets.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New Enviri is a defendant or party to various claims and lawsuits, including those discussed below. Unless stated otherwise below, New Enviri has not determined a loss to be probable or estimable for the legal proceedings.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27, 2020, the EPA issued a Notice of Potential Liability to the Company along with several other companies, concerning the Newtown Creek Superfund Site located in Kings and Queens Counties in New York, which alleges certain facilities formerly owned or operated by subsidiaries of the Company may have resulted in the discharge of hazardous substances into Newtown Creek or its Dutch Kills tributary. The site has been subject to CERCLA response activities since approximately 2011. The EPA expects to issue a Record of Decision for the sitewide cleanup plan no sooner than 2028 and announced, in July 2021, that it would defer its decision on a potential early action response for the lower two miles of the Creek until the site-wide studies are completed. On August 28, 2024, the EPA released a proposed plan for clean up of the East Branch portion of Newtown Creek. On January 17, 2025, the EPA released its decision approving this early action remedy for the East Branch. The Company is one of 30 PRPs that have received notices, though it is believed other PRPs may exist. New Enviri vigorously contests the allegations of this notice and currently does not believe that this matter will have a material effect on New Enviri’s financial position or results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New Enviri has had ongoing meetings with the SCE over processing salt cakes, a processing byproduct, stored at the Al Hafeerah site. New Enviri’s Bahrain operations that produced the salt cakes have ceased operations. An Environmental Impact Assessment and Technical Feasibility Study for facilities to process the salt cakes was approved by the SCE during the first quarter of 2018. Commissioning of the facilities was completed during the third quarter of 2021 and the processing of the salt cakes has commenced, with the expectation that New Enviri would be able to sell the products that resulted from the processing in an amount that would cover the processing costs. During the fourth quarter of 2024, New Enviri concluded that, despite significant commercial efforts and ongoing discussions with the SCE, it could not sufficiently recover the processing costs from these sales as it had previously estimated and, as such, recorded an additional provision of $27.2 million. During the fourth quarter of 2025, New Enviri recorded an additional provision of $5.0 million based on the current expected recovery of the processing costs, including the agreement to sell a significant quantity of processed material to a regional buyer. New Enviri is currently exploring other options to resolve this matter in a cost-effective manner, including engaging certain entities to remove the remaining salt cakes from Bahrain, subject to a suitability analysis. New Enviri's current reserve of $27.0 million at March 31, 2026 represents New Enviri's best estimate of the net costs to fully resolve this matter. New Enviri will continue to evaluate this reserve and any future change in estimated costs which could be material to New Enviri’s results of operations in any single period.</w:t>
      </w:r>
    </w:p>
    <w:p>
      <w:pPr>
        <w:spacing w:after="0" w:line="136"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7"/>
          <w:szCs w:val="17"/>
          <w:color w:val="auto"/>
        </w:rPr>
        <w:t>On July 27, 2018, Brazil’s Federal and Rio de Janeiro State Public Prosecution Offices (the "MPF" and "MPE", respectively) filed a Civil Public Action against CSN, one of New Enviri's customers, New Enviri’s Brazilian subsidiary, the Municipality of Volta Redonda, Brazil, and the Instituto Estadual do Ambiente, the state of Rio de Janeiro's environmental protection agency, seeking the implementation of various measures to limit and reduce the accumulation of customer-owned slag at the site in Brazil. On August 6, 2018, the 3rd Federal Court in Volta Redonda (the "Volta Redonda Court") granted the MPF and MPE an injunction against the defendants requiring, among other things, CSN and New Enviri’s Brazilian subsidiary to limit the volume of slag sent to the site. Because the customer owns the site and the slag located on the site, New Enviri believes that complying with this injunction is the steel producer’s responsibility. Nevertheless, the Volta Redonda Court issued two orders fining New Enviri and CSN for what it viewed as violations of the injunction. New Enviri appealed the fines and the underlying injunction and, beginning on March 25, 2022, the Volta Redonda Court entered a series of orders suspending the litigation proceedings and staying any additional fines and interest accruals while the parties discuss a possible resolution to the matter. The aggregate amount of fines levied against New Enviri, exclusive of interest, is approximately 32 million Brazilian reais (or approximately $6 million as of March 31, 2026). On October 5, 2024, the 3rd Volta Redonda Court determined that, as of August 1, 2024, New Enviri was not responsible for complying with the injunction because New Enviri no longer operates at the site. In May 2025, the authorities issued a settlement proposal in which CSN would perform remediation at the site and pay approximately 264 million Brazilian reais (or approximately $50 million as of March 31, 2026) and New Enviri would pay approximately 66 million Brazilian reais (or approximately $13 million as of March 31, 2026) for alleged environmental damage. New Enviri disputes that environmental damage was caused by the accumulation of slag and, as such, does not agree with the proposed payment. New Enviri and the other parties continue to discuss a potential resolution related to the portion of the authorities' claims that allegedly occurred prior to August 1,</w:t>
      </w:r>
    </w:p>
    <w:p>
      <w:pPr>
        <w:spacing w:after="0" w:line="1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2024. On September 30, 2025, the public prosecutors pursuing the Civil Public Action initiated a criminal proceeding before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Federal Court in Volta Redonda (the "2nd Volta Redonda Court") against CSN and New Enviri and is seeking 431 million Brazilian reais (or approximately $82 million as of March 31, 2026) from the two companies. A majority of the amount sought in this proceeding is identical to, and overlaps with, the damages sought in the Civil Public Action. The 2nd Volta Redonda Court has accepted the complaint from the public prosecutors, and both CSN and New Enviri submitted their respective defenses in January 2026. New Enviri denies that any environmental damage occurred and will defend itself vigorously. Because of multiple defenses available, including that the slag is inert and not harmful to the environment, and that the slag deposits do not belong to it, New Enviri does not believe that a loss relating to this matter is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October 2021, New Enviri received a subpoena and two indictments before the Amsterdam District Court in the Netherlands concerning New Enviri's operations at a customer site in Ijmuiden, Netherlands. The Amsterdam Public Prosecutor’s Office ("APPO") issued two indictments against New Enviri, alleging violations in connection with dust releases and/or events alleged to have occurred in 2018 through May 2020 at the site. The action cited provisions which permit fines for the alleged infractions and sought €0.1 million in fines with a smaller amount held in abeyance. On February 2, 2022, the APPO announced that it would further investigate residents’ claims related to this matter. On February 25, 2022, the Amsterdam District Court ruled that New Enviri was liable for only one alleged violation and that this alleged violation was unintentional. The court issued a fine of €5.0 thousand, to be held in abeyance. Both New Enviri and the APPO appealed this ruling. An appellate hearing was held on July 5, 2024, with the APPO seeking €0.3 million in fines. On July 19, 2024, the Court of Appeals ruled that New Enviri was liable for two alleged intentional violations and issued a fine of €25 thousand. Both New Enviri and the APPO have appealed this ruling. On April 23, 2025, the APPO withdrew its appeal of the Court of Appeal's ruling from July 19, 2024 and New Enviri withdrew its reciprocal appeal on May 8, 2025. As such, the Court of Appeal's July 19, 2024 ruling has become final and binding. New Enviri is vigorously contesting all allegations against it and is also working with its customer to ensure the control of emissions. New Enviri has contractual indemnity rights from its customer that it believes will substantially cover any fines or penalties. Due to multiple defenses available to New Enviri, including that the majority of the alleged issues relate to the customer's operations, New Enviri does not believe a loss is probable or potentially material.</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Brazilian Tax Dispute</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30, 2020, New Enviri received an assessment from the municipal authority in Ipatinga, Brazil, alleging $2.0 million in unpaid service taxes from the period 2015 to 2020. This dispute is currently in the collection action phase of the legal process and the amount assessed includes interest charges that may increase at statutorily determined amounts per month and are assessed on the aggregate amount of the principal and penalties. In addition, while in the collection action phase, the losing party could be subject to a charge to cover statutorily mandated legal fees, which are generally calculated as a percentage of the total assessed amounts due, inclusive of penalty and interest. After calculating the interest and penalties accrued, New Enviri estimates that the current overall potential liability for this case is approximately $7.6 million as of March 31, 2026. On July 21, 2023, New Enviri filed the last administrative appeal against the decision that maintained the assessment and a final administrative decision is still pending. Due to the multiple defenses that are available, New Enviri does not believe a loss is probable and, as a result, no loss provision has been recorded in New Enviri's Condensed Combined Financial Statements and New Enviri does not expect that any costs that are reasonably possible to be incurred by New Enviri in connection with this tax dispute would have a material adverse effect on New Enviri's financial condition, results of operations or cash flows.</w:t>
      </w:r>
    </w:p>
    <w:p>
      <w:pPr>
        <w:spacing w:after="0" w:line="14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New Enviri intends to continue its practice of vigorously defending itself against this tax claim under various alternatives, including judicial appeal. New Enviri will continue to evaluate its potential liability with regard to this claim on a quarterly basis; however, it is not possible to predict the ultimate outcome.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Brazilian Labor Disputes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New Enviri is subject to ongoing collective bargaining and individual labor claims in Brazil in HE which allege, among other things, New Enviri’s failure to pay required amounts for overtime and vacation at certain sites. New Enviri is vigorously defending itself against these claims; however, litigation is inherently unpredictable, particularly in foreign jurisdictions. While New Enviri does not currently expect that the ultimate resolution of these claims will have a material adverse effect on New Enviri’s combined financial condition, results of operations or cash flows, it is not possible to predict the ultimate outcome of these labor-related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Orion Metals Mining Pty. Ltd.</w:t>
      </w:r>
    </w:p>
    <w:p>
      <w:pPr>
        <w:spacing w:after="0" w:line="20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July 11, 2018, New Enviri entered into an agreement with Orion Metals Mining Pty Ltd. (“Orion”) to provide slag processing services at Orion’s Highveld facility in South Africa. On October 3, 2018, New Enviri received a demand letter from Orion, asserting that New Enviri had failed to maintain minimum monthly processing requirements in breach of said agreement. The parties entered arbitration, with Orion filing a Statement of Claim on February 15, 2019, asserting approximately $28.5 million in damages for alleged claims for misrepresentation, rescission, and breach of contract. On September 4, 2019, New Enviri counterclaimed, asserting approximately $3.4 million against Orion and its sureties for damages arising from Orion’s unlawful repudiation of the agreement. The matter thereafter became dormant, with Orion taking no action to prosecute its claims for nearly five years. In March 2025, Orion sought to revive the proceedings and its claims. On August 22, 2025, New Enviri brought a dismissal application seeking an award that Orion’s claims be dismissed for inordinate and inexcusable delay, which Orion has opposed. New Enviri vigorously contests all allegations against it. Due to the multiple defenses and counterclaims available, New Enviri does not believe a loss is probable or estimable at this time.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Asbestos Actions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New Enviri is named as one of many defendants in legal actions in the U.S.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there were approximately 17,000 pending asbestos personal injury actions filed against New Enviri. The vast majority of these actions were filed in the New York Supreme Court (New York County), of which the majority of such actions were on the Deferred/Inactive Docket created by the New York Supreme Court in December 2002 for all pending and future asbestos actions filed by persons who cannot demonstrate that they have a malignant condition or discernible physical impairment. A relatively small portion of cases are on the Active or In Extremis docket in New York County or on active dockets in other jurisdictions. The complaints in most of those actions generally follow a form that contains a standard demand of significant damages, regardless of the individual plaintiff's alleged medical condition, and without identifying any New Enviri product.</w:t>
      </w:r>
    </w:p>
    <w:p>
      <w:pPr>
        <w:spacing w:after="0" w:line="13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New Enviri will continue to vigorously defend against such claims and is confident that it will be successful in doing so. New Enviri has never been a producer, manufacturer or processor of asbestos fibers. Any asbestos-containing part of a New Enviri product used in the past was purchased from a supplier and the asbestos encapsulated in other materials such that airborne exposure, if it occurred, was not harmful and is not associated with the types of injuries alleged in the pending actions.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New Enviri has liability insurance coverage under various primary and excess policies that New Enviri believes will be available, if necessary, to substantially cover any liability that might ultimately be incurred in the asbestos actions referred to above. The costs and expenses of the asbestos actions are being paid by New Enviri's insurers.</w:t>
      </w:r>
    </w:p>
    <w:p>
      <w:pPr>
        <w:spacing w:after="0" w:line="12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view of the persistence of asbestos litigation in the U.S., New Enviri expects to continue to receive additional claims in the future. New Enviri intends to continue its practice of vigorously defending these claims and cases. As of March 31, 2026, New Enviri has successfully dismissed approximately 28,500 cases by stipulation or summary judgment prior to trial.</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It is not possible to predict the ultimate outcome of asbestos-related actions in the U.S. due to the unpredictable nature of this litigation, and no loss provision has been recorded in New Enviri's Condensed Combined Financial Statements because a loss contingency is not deemed probable or estimable. Despite this uncertainty, and although results of operations and cash flows for a given period could be adversely affected by asbestos-related actions, New Enviri does not expect that any costs that are reasonably possible to be incurred by New Enviri in connection with asbestos litigation would have a material adverse effect on New Enviri's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New Enviri is subject to various other claims and legal proceedings covering a wide range of matters that arose in the ordinary course of business. In the opinion of management, all such matters are adequately covered by insurance or by established reserves, and, if not so covered, are without merit or are of such kind, or involve such amounts, as would not have a material adverse effect on the financial position, results of operations or cash flows of New Enviri.</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Insurance liabilities are recorded when it is probable that a liability has been incurred for a particular event and the amount of loss associated with the event can be reasonably estimated. Insurance reserves have been estimated based primarily upon actuarial calculations and reflect the undiscounted estimated liabilities for ultimate losses, including claims incurred but not reported. Inherent in these estimates are assumptions that are based on New Enviri's history of claims and losses, a detailed analysis of existing claims with respect to potential value, and current legal and legislative trends. If actual claims differ from those projected by management, changes (either increases or decreases) to insurance reserves may be required and would be recorded through income in the period the change was determined. When a recognized liability has been determined to be covered by third-party insurance, New Enviri records an insurance claim receivable to reflect the covered liability. Insurance claim receivables are included in Other receivables on New Enviri's Condensed Combined Balance Sheets. See Note 3, Summary of Significant Accounting Policies in New Enviri’s audited combined financial statements for the year ended December 31, 2025, that was filed in Enviri II's Registration Statement on Form 10, as filed with the SEC on March 20, 2026, and declared effective on May 11, 2026, under Accrued Insurance and Loss Reserves, for additional information.</w:t>
      </w:r>
    </w:p>
    <w:p>
      <w:pPr>
        <w:spacing w:after="0" w:line="150" w:lineRule="exact"/>
        <w:rPr>
          <w:sz w:val="20"/>
          <w:szCs w:val="20"/>
          <w:color w:val="auto"/>
        </w:rPr>
      </w:pPr>
    </w:p>
    <w:p>
      <w:pPr>
        <w:ind w:left="340" w:right="6120" w:hanging="8"/>
        <w:spacing w:after="0" w:line="471" w:lineRule="auto"/>
        <w:tabs>
          <w:tab w:leader="none" w:pos="61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Hedging Activities and Fair Value Derivative Instruments and Hedging Activities</w:t>
      </w:r>
    </w:p>
    <w:p>
      <w:pPr>
        <w:spacing w:after="0" w:line="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New Enviri uses derivative instruments, including foreign currency exchange forward contracts and interest rate swaps to manage certain foreign currency and interest rate exposures. Derivative instruments are viewed as risk management tools by New Enviri and are not used for trading or speculative purposes. All derivative instruments are recorded on New Enviri's Condensed Combined Balance Sheets at fair value. The accounting for changes in the fair value of derivatives depends on the intended use of the derivative, whether New Enviri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New Enviri may enter into derivative contracts that are intended to economically hedge certain of its risks, even though hedge accounting does not apply or New Enviri elects not to apply hedge accounting.</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Enviri primarily applies the market approach for recurring fair value measurements and endeavors to utilize the best available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information. Accordingly, New Enviri utilizes valuation techniques that maximize the use of observable inputs, such as forward rates, interest rates, New Enviri’s credit risk and counterparties’ credit risks, and which minimize the use of unobservable inputs. New Enviri is able to classify fair value balances based on the ability to observe those inputs. Foreign currency exchange forward contracts and interest rate swaps are based upon pricing models using market-based inputs (Level 2). Model inputs can be verified and valuation techniques do not involve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outstanding derivative contracts recorded as assets and liabilities on New Enviri's Condensed Combined Balance Sheets was as follows: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1"/>
                <w:szCs w:val="11"/>
                <w:color w:val="auto"/>
              </w:rPr>
            </w:pPr>
          </w:p>
        </w:tc>
        <w:tc>
          <w:tcPr>
            <w:tcW w:w="13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5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tcPr>
          <w:p>
            <w:pPr>
              <w:spacing w:after="0"/>
              <w:rPr>
                <w:sz w:val="11"/>
                <w:szCs w:val="11"/>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368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 (Level 2):</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forward contracts</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5,350</w:t>
            </w: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1,661</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w:t>
            </w:r>
          </w:p>
        </w:tc>
        <w:tc>
          <w:tcPr>
            <w:tcW w:w="0" w:type="dxa"/>
            <w:vAlign w:val="bottom"/>
          </w:tcPr>
          <w:p>
            <w:pPr>
              <w:spacing w:after="0"/>
              <w:rPr>
                <w:sz w:val="1"/>
                <w:szCs w:val="1"/>
                <w:color w:val="auto"/>
              </w:rPr>
            </w:pPr>
          </w:p>
        </w:tc>
      </w:tr>
      <w:tr>
        <w:trPr>
          <w:trHeight w:val="202"/>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8,173</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 (Level 2):</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forward contracts</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Derivative liabilities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13,627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14,122</w:t>
            </w:r>
          </w:p>
        </w:tc>
        <w:tc>
          <w:tcPr>
            <w:tcW w:w="0" w:type="dxa"/>
            <w:vAlign w:val="bottom"/>
          </w:tcPr>
          <w:p>
            <w:pPr>
              <w:spacing w:after="0"/>
              <w:rPr>
                <w:sz w:val="1"/>
                <w:szCs w:val="1"/>
                <w:color w:val="auto"/>
              </w:rPr>
            </w:pPr>
          </w:p>
        </w:tc>
      </w:tr>
      <w:tr>
        <w:trPr>
          <w:trHeight w:val="202"/>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14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13,627</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14,122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 (Level 2):</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forward contracts</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 (Level 2):</w:t>
            </w: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forward contracts</w:t>
            </w:r>
          </w:p>
        </w:tc>
        <w:tc>
          <w:tcPr>
            <w:tcW w:w="22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Derivative liabilities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20,839</w:t>
            </w: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All of New Enviri's derivatives are recorded on the Condensed Combined Balance Sheets at gross amounts and do not offset. All of New Enviri's interest rate swaps and certain foreign currency exchange forward contracts are transacted under ISDA documentation. Each ISDA master agreement permits the net settlement of amounts owed in the event of default. New Enviri's derivative assets and liabilities are subject to enforceable master netting arrangements, which if offset, would have resulted in a net asset of $1.2 million at March 31, 2026 and a $0.3 million net liability at December 31, 2025.</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derivative instruments on New Enviri's Condensed Combined Statements of Comprehensive Income (Loss) was as follows: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 (Loss) Recognized in OCI on</w:t>
            </w:r>
          </w:p>
        </w:tc>
        <w:tc>
          <w:tcPr>
            <w:tcW w:w="2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Loss (Gain) Reclassified from AOCI into</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Income - Effective Portion</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55"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locations and amounts of gain (loss) recognized on New Enviri's Condensed Combined Statements of Operations was as follows:</w:t>
      </w:r>
    </w:p>
    <w:p>
      <w:pPr>
        <w:sectPr>
          <w:pgSz w:w="11900" w:h="16838" w:orient="portrait"/>
          <w:cols w:equalWidth="0" w:num="1">
            <w:col w:w="11240"/>
          </w:cols>
          <w:pgMar w:left="320" w:top="1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42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82" w:lineRule="exact"/>
        <w:rPr>
          <w:sz w:val="20"/>
          <w:szCs w:val="20"/>
          <w:color w:val="auto"/>
        </w:rPr>
      </w:pPr>
    </w:p>
    <w:p>
      <w:pPr>
        <w:ind w:left="180" w:hanging="161"/>
        <w:spacing w:after="0" w:line="312" w:lineRule="auto"/>
        <w:rPr>
          <w:sz w:val="20"/>
          <w:szCs w:val="20"/>
          <w:color w:val="auto"/>
        </w:rPr>
      </w:pPr>
      <w:r>
        <w:rPr>
          <w:rFonts w:ascii="Times New Roman" w:cs="Times New Roman" w:eastAsia="Times New Roman" w:hAnsi="Times New Roman"/>
          <w:sz w:val="17"/>
          <w:szCs w:val="17"/>
          <w:color w:val="auto"/>
        </w:rPr>
        <w:t>Total amounts in the Condensed Combined Statement of Operations in which the effects of derivatives designated as hedging instruments are recorded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Gain (loss) reclassified from AOCI into income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Gain (loss) reclassified from AOCI into income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top w:val="single" w:sz="8" w:color="auto"/>
              <w:bottom w:val="single" w:sz="8" w:color="auto"/>
            </w:tcBorders>
          </w:tcPr>
          <w:p>
            <w:pPr>
              <w:spacing w:after="0"/>
              <w:rPr>
                <w:sz w:val="18"/>
                <w:szCs w:val="18"/>
                <w:color w:val="auto"/>
              </w:rPr>
            </w:pPr>
          </w:p>
        </w:tc>
      </w:tr>
      <w:tr>
        <w:trPr>
          <w:trHeight w:val="196"/>
        </w:trPr>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 Revenues</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4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 Revenues</w:t>
            </w:r>
          </w:p>
        </w:tc>
        <w:tc>
          <w:tcPr>
            <w:tcW w:w="14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Interest Expense</w:t>
            </w:r>
          </w:p>
        </w:tc>
      </w:tr>
      <w:tr>
        <w:trPr>
          <w:trHeight w:val="526"/>
        </w:trPr>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65,778</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(26,687)</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71,444</w:t>
            </w:r>
          </w:p>
        </w:tc>
        <w:tc>
          <w:tcPr>
            <w:tcW w:w="140" w:type="dxa"/>
            <w:vAlign w:val="bottom"/>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(25,486)</w:t>
            </w:r>
          </w:p>
        </w:tc>
      </w:tr>
      <w:tr>
        <w:trPr>
          <w:trHeight w:val="615"/>
        </w:trPr>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648"/>
        </w:trPr>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5600" w:space="380"/>
            <w:col w:w="5260"/>
          </w:cols>
          <w:pgMar w:left="320" w:top="155" w:right="339" w:bottom="1440" w:gutter="0" w:footer="0" w:header="0"/>
          <w:type w:val="continuous"/>
        </w:sectPr>
      </w:pP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 on</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Derivatives (a)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56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2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5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25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2680" w:type="dxa"/>
            <w:vAlign w:val="bottom"/>
            <w:gridSpan w:val="4"/>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96"/>
        </w:trPr>
        <w:tc>
          <w:tcPr>
            <w:tcW w:w="5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on Derivatives (a)</w:t>
            </w:r>
          </w:p>
        </w:tc>
        <w:tc>
          <w:tcPr>
            <w:tcW w:w="340" w:type="dxa"/>
            <w:vAlign w:val="bottom"/>
          </w:tcPr>
          <w:p>
            <w:pPr>
              <w:spacing w:after="0"/>
              <w:rPr>
                <w:sz w:val="8"/>
                <w:szCs w:val="8"/>
                <w:color w:val="auto"/>
              </w:rPr>
            </w:pPr>
          </w:p>
        </w:tc>
        <w:tc>
          <w:tcPr>
            <w:tcW w:w="2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gridSpan w:val="3"/>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50"/>
        </w:trPr>
        <w:tc>
          <w:tcPr>
            <w:tcW w:w="5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140" w:type="dxa"/>
            <w:vAlign w:val="bottom"/>
            <w:shd w:val="clear" w:color="auto" w:fill="CCEEFF"/>
          </w:tcPr>
          <w:p>
            <w:pPr>
              <w:spacing w:after="0"/>
              <w:rPr>
                <w:sz w:val="15"/>
                <w:szCs w:val="15"/>
                <w:color w:val="auto"/>
              </w:rPr>
            </w:pPr>
          </w:p>
        </w:tc>
        <w:tc>
          <w:tcPr>
            <w:tcW w:w="23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Cost of services and products</w:t>
            </w:r>
          </w:p>
        </w:tc>
        <w:tc>
          <w:tcPr>
            <w:tcW w:w="1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11,486</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0" w:type="dxa"/>
            <w:vAlign w:val="bottom"/>
          </w:tcPr>
          <w:p>
            <w:pPr>
              <w:spacing w:after="0"/>
              <w:rPr>
                <w:sz w:val="1"/>
                <w:szCs w:val="1"/>
                <w:color w:val="auto"/>
              </w:rPr>
            </w:pPr>
          </w:p>
        </w:tc>
      </w:tr>
      <w:tr>
        <w:trPr>
          <w:trHeight w:val="140"/>
        </w:trPr>
        <w:tc>
          <w:tcPr>
            <w:tcW w:w="5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sold</w:t>
            </w: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52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gains (losses) offset other amounts recognized in cost of services and products sold principally as a result of intercompany or third party foreign currency exposures.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New Enviri conducts business in multiple currencies and, accordingly, is subject to the inherent risks associated with foreign exchange rate movements. Foreign currency-denominated assets and liabilities are translated into U.S. dollars at the exchange rates existing at the respective combined balance sheet dates, and income and expense items are translated at the average exchange rates during the respective periods.</w:t>
      </w:r>
    </w:p>
    <w:p>
      <w:pPr>
        <w:spacing w:after="0" w:line="1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New Enviri uses derivative instruments to hedge cash flows related to foreign currency fluctuations. Foreign currency exchange forward contracts outstanding are part of a worldwide program to minimize foreign currency exchange operating income and balance sheet exposure by offsetting foreign currency exposures of certain future payments between New Enviri and various subsidiaries, suppliers or customers. The unsecured contracts are with major financial institutions. New Enviri may be exposed to credit loss in the event of non-performance by the contract counterparties. New Enviri evaluates the creditworthiness of the counterparties and does not expect default by them. Foreign currency exchange forward contracts are used to hedge commitments, such as foreign currency debt, firm purchase commitments and foreign currency cash flows for certain export sales transactions.</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Changes in the fair value of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may be accounted for as cash flow hedges, as deemed appropriate, if the criteria for hedge accounting are met. Gains and losses on derivatives designated as cash flow hedges are deferred in AOCI, a separate component of equity, and reclassified to earnings in a manner that matches the timing of the earnings impact of the hedged transactions. The ineffective portion of all hedges, if any, is recognized currently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recognized gains and losses offset amounts recognized in cost of services and products sold principally as a result of intercompany or third-party foreign currency exposures. At March 31, 2026 and December 31, 2025, the notional amounts of foreign currency exchange forward contracts were $614.3 million and $639.0 million, respectively. These contracts are primarily denominated in British Pound Sterling and Euros and mature through October 2027.</w:t>
      </w:r>
    </w:p>
    <w:p>
      <w:pPr>
        <w:spacing w:after="0" w:line="10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foreign currency exchange forward contracts, New Enviri designates certain loans as hedges of net investments in international subsidiaries. New Enviri recorded a pre-tax net gain of $0.1 million for the three months ended March 31, 2026 and a pre-tax net loss of $0.6 million for the three months ended March 31, 2025 in OCI.</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New Enviri uses interest rate swaps in conjunction with certain variable rate debt issuances in order to secure a fixed interest rate. Changes in the fair value attributed to the effect of the swaps’ interest spread and changes in the credit worthiness of the counter-parties are recorded in OCI.</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a series of interest rate swaps that have been effective since December 2025 and are scheduled to mature in March 2028. These forward swaps have the effect of converting $300.0 million under the Term Loan from a floating interest rate to a fixed interest rate and are classified as cash flow hedges. These swaps provide fixed interest rates that range from 3.06% to 3.12% and replace the adjusted SOFR rate in the interest calculation.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liabilities and short-term borrowings approximate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due to the short-term maturities of these assets and liabilities. At March 31, 2026 and December 31, 2025, the total fair value of long-term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current maturities, excluding deferred financing costs, was $1,528.7 million and $1,504.7 million, respectively, compared with a carrying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$1,532.9 million and $1,505.3 million, respectively. Fair values for debt are based on pricing models using market-based inputs (Level 2) for similar issues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on the current rates offered to New Enviri for debt of the same remaining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5" w:right="399" w:bottom="1440" w:gutter="0" w:footer="0" w:header="0"/>
        </w:sectPr>
      </w:pPr>
    </w:p>
    <w:bookmarkStart w:id="52" w:name="page53"/>
    <w:bookmarkEnd w:id="52"/>
    <w:p>
      <w:pPr>
        <w:ind w:left="18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Review of Operations by Segment</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tables below include information about New Enviri's revenues and operating income (loss) by reportable segment, along with significant segment expenses and other segment information, followed by a reconciliation of operating income (loss) by reporting segment to New Enviri's combined Income (loss) from continuing operations before income taxes and equity in income, for the periods presented:</w:t>
      </w:r>
    </w:p>
    <w:p>
      <w:pPr>
        <w:spacing w:after="0" w:line="200" w:lineRule="exact"/>
        <w:rPr>
          <w:sz w:val="20"/>
          <w:szCs w:val="20"/>
          <w:color w:val="auto"/>
        </w:rPr>
      </w:pPr>
    </w:p>
    <w:p>
      <w:pPr>
        <w:spacing w:after="0" w:line="36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6"/>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Harsco</w:t>
            </w:r>
          </w:p>
        </w:tc>
        <w:tc>
          <w:tcPr>
            <w:tcW w:w="18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2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3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3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 and Loss: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256,717</w:t>
            </w:r>
          </w:p>
        </w:tc>
        <w:tc>
          <w:tcPr>
            <w:tcW w:w="16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67,331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324,048</w:t>
            </w:r>
          </w:p>
        </w:tc>
        <w:tc>
          <w:tcPr>
            <w:tcW w:w="16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324,048</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Cost of services and products sold</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218,007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57,972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275,979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275,979</w:t>
            </w:r>
          </w:p>
        </w:tc>
        <w:tc>
          <w:tcPr>
            <w:tcW w:w="0" w:type="dxa"/>
            <w:vAlign w:val="bottom"/>
          </w:tcPr>
          <w:p>
            <w:pPr>
              <w:spacing w:after="0"/>
              <w:rPr>
                <w:sz w:val="1"/>
                <w:szCs w:val="1"/>
                <w:color w:val="auto"/>
              </w:rPr>
            </w:pPr>
          </w:p>
        </w:tc>
      </w:tr>
      <w:tr>
        <w:trPr>
          <w:trHeight w:val="236"/>
        </w:trPr>
        <w:tc>
          <w:tcPr>
            <w:tcW w:w="3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8"/>
                <w:szCs w:val="18"/>
                <w:color w:val="auto"/>
                <w:vertAlign w:val="superscript"/>
              </w:rPr>
              <w:t>(c)</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44,987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44,591</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xml:space="preserve">Other segment activities </w:t>
            </w:r>
            <w:r>
              <w:rPr>
                <w:rFonts w:ascii="Times New Roman" w:cs="Times New Roman" w:eastAsia="Times New Roman" w:hAnsi="Times New Roman"/>
                <w:sz w:val="18"/>
                <w:szCs w:val="18"/>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11,075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12,611</w:t>
            </w:r>
          </w:p>
        </w:tc>
        <w:tc>
          <w:tcPr>
            <w:tcW w:w="0" w:type="dxa"/>
            <w:vAlign w:val="bottom"/>
          </w:tcPr>
          <w:p>
            <w:pPr>
              <w:spacing w:after="0"/>
              <w:rPr>
                <w:sz w:val="1"/>
                <w:szCs w:val="1"/>
                <w:color w:val="auto"/>
              </w:rPr>
            </w:pPr>
          </w:p>
        </w:tc>
      </w:tr>
      <w:tr>
        <w:trPr>
          <w:trHeight w:val="115"/>
        </w:trPr>
        <w:tc>
          <w:tcPr>
            <w:tcW w:w="3260" w:type="dxa"/>
            <w:vAlign w:val="bottom"/>
            <w:gridSpan w:val="2"/>
            <w:shd w:val="clear" w:color="auto" w:fill="CCEEFF"/>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Operating income (loss) from continuing</w:t>
            </w:r>
          </w:p>
        </w:tc>
        <w:tc>
          <w:tcPr>
            <w:tcW w:w="14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1,546</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(10,679)</w:t>
            </w: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(9,133)</w:t>
            </w:r>
          </w:p>
        </w:tc>
        <w:tc>
          <w:tcPr>
            <w:tcW w:w="0" w:type="dxa"/>
            <w:vAlign w:val="bottom"/>
          </w:tcPr>
          <w:p>
            <w:pPr>
              <w:spacing w:after="0"/>
              <w:rPr>
                <w:sz w:val="1"/>
                <w:szCs w:val="1"/>
                <w:color w:val="auto"/>
              </w:rPr>
            </w:pPr>
          </w:p>
        </w:tc>
      </w:tr>
      <w:tr>
        <w:trPr>
          <w:trHeight w:val="112"/>
        </w:trPr>
        <w:tc>
          <w:tcPr>
            <w:tcW w:w="3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6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Plus: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c>
          <w:tcPr>
            <w:tcW w:w="0" w:type="dxa"/>
            <w:vAlign w:val="bottom"/>
          </w:tcPr>
          <w:p>
            <w:pPr>
              <w:spacing w:after="0"/>
              <w:rPr>
                <w:sz w:val="1"/>
                <w:szCs w:val="1"/>
                <w:color w:val="auto"/>
              </w:rPr>
            </w:pPr>
          </w:p>
        </w:tc>
      </w:tr>
      <w:tr>
        <w:trPr>
          <w:trHeight w:val="19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(26,687)</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Facility fees and debt-related income (expense)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(2,294)</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Defined benefit pension income (expense)</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(3,937)</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 and equity in income</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(41,593)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Information:</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29,325</w:t>
            </w:r>
          </w:p>
        </w:tc>
        <w:tc>
          <w:tcPr>
            <w:tcW w:w="0" w:type="dxa"/>
            <w:vAlign w:val="bottom"/>
          </w:tcPr>
          <w:p>
            <w:pPr>
              <w:spacing w:after="0"/>
              <w:rPr>
                <w:sz w:val="1"/>
                <w:szCs w:val="1"/>
                <w:color w:val="auto"/>
              </w:rPr>
            </w:pPr>
          </w:p>
        </w:tc>
      </w:tr>
      <w:tr>
        <w:trPr>
          <w:trHeight w:val="237"/>
        </w:trPr>
        <w:tc>
          <w:tcPr>
            <w:tcW w:w="3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8"/>
                <w:szCs w:val="18"/>
                <w:color w:val="auto"/>
                <w:vertAlign w:val="superscript"/>
              </w:rPr>
              <w:t>(b)</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188"/>
        </w:trPr>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5" w:right="439" w:bottom="1440" w:gutter="0" w:footer="0" w:header="0"/>
        </w:sectPr>
      </w:pPr>
    </w:p>
    <w:bookmarkStart w:id="53" w:name="page54"/>
    <w:bookmarkEnd w:id="53"/>
    <w:p>
      <w:pPr>
        <w:ind w:left="172"/>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Harsco</w:t>
            </w:r>
          </w:p>
        </w:tc>
        <w:tc>
          <w:tcPr>
            <w:tcW w:w="16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1"/>
                <w:szCs w:val="11"/>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 and Loss: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243,106</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69,947</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313,053</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313,053</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Cost of services and products sold</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202,017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251,434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251,434</w:t>
            </w: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8"/>
                <w:szCs w:val="18"/>
                <w:color w:val="auto"/>
                <w:vertAlign w:val="superscript"/>
              </w:rPr>
              <w:t>(c)</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43,188</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xml:space="preserve">Other segment activities </w:t>
            </w:r>
            <w:r>
              <w:rPr>
                <w:rFonts w:ascii="Times New Roman" w:cs="Times New Roman" w:eastAsia="Times New Roman" w:hAnsi="Times New Roman"/>
                <w:sz w:val="18"/>
                <w:szCs w:val="18"/>
                <w:color w:val="auto"/>
                <w:vertAlign w:val="superscript"/>
              </w:rPr>
              <w:t>(a)</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income (loss) from continuing operations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0" w:type="dxa"/>
            <w:vAlign w:val="bottom"/>
          </w:tcPr>
          <w:p>
            <w:pPr>
              <w:spacing w:after="0"/>
              <w:rPr>
                <w:sz w:val="1"/>
                <w:szCs w:val="1"/>
                <w:color w:val="auto"/>
              </w:rPr>
            </w:pPr>
          </w:p>
        </w:tc>
      </w:tr>
      <w:tr>
        <w:trPr>
          <w:trHeight w:val="195"/>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Plus: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95"/>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(25,486)</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Facility fees and debt-related income (expense)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Defined benefit pension income (expense)</w:t>
            </w: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221"/>
        </w:trPr>
        <w:tc>
          <w:tcPr>
            <w:tcW w:w="53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income taxes and equity in income</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Information:</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26,822</w:t>
            </w: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8"/>
                <w:szCs w:val="18"/>
                <w:color w:val="auto"/>
                <w:vertAlign w:val="superscript"/>
              </w:rPr>
              <w:t>(b)</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0" w:type="dxa"/>
            <w:vAlign w:val="bottom"/>
          </w:tcPr>
          <w:p>
            <w:pPr>
              <w:spacing w:after="0"/>
              <w:rPr>
                <w:sz w:val="1"/>
                <w:szCs w:val="1"/>
                <w:color w:val="auto"/>
              </w:rPr>
            </w:pPr>
          </w:p>
        </w:tc>
      </w:tr>
      <w:tr>
        <w:trPr>
          <w:trHeight w:val="188"/>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32" w:right="380" w:hanging="332"/>
        <w:spacing w:after="0" w:line="261" w:lineRule="auto"/>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activities include amounts reflected in the captions Research and development costs, Other income (expenses), net, and certain activities reported in Cost of services and products sold on New Enviri's Condensed Combined Statements of Operations.</w:t>
      </w:r>
    </w:p>
    <w:p>
      <w:pPr>
        <w:ind w:left="212" w:hanging="212"/>
        <w:spacing w:after="0"/>
        <w:tabs>
          <w:tab w:leader="none" w:pos="2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in Corporate relates to the amortization of deferred financing costs.</w:t>
      </w:r>
    </w:p>
    <w:p>
      <w:pPr>
        <w:spacing w:after="0" w:line="14" w:lineRule="exact"/>
        <w:rPr>
          <w:rFonts w:ascii="Times New Roman" w:cs="Times New Roman" w:eastAsia="Times New Roman" w:hAnsi="Times New Roman"/>
          <w:sz w:val="14"/>
          <w:szCs w:val="14"/>
          <w:color w:val="auto"/>
        </w:rPr>
      </w:pPr>
    </w:p>
    <w:p>
      <w:pPr>
        <w:ind w:left="332" w:hanging="332"/>
        <w:spacing w:after="0" w:line="283" w:lineRule="auto"/>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by segment differ from amounts reflected in the historical Enviri combined financial statements due to the full allocation of corporate costs in the Combined Financial Statements. See Note 17, Relationship with Parent and Related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193040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55"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Revenues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New Enviri recognizes revenues to depict the transfer of promised services and products to customers in an amount that reflects the consideration New Enviri expects to receive in exchange for those services and products. There are no significant inter-segment sales.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New Enviri's revenues by primary geographical markets as well as by key product and service groups is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80" w:type="dxa"/>
            <w:vAlign w:val="bottom"/>
            <w:gridSpan w:val="2"/>
            <w:vMerge w:val="continue"/>
          </w:tcPr>
          <w:p>
            <w:pPr>
              <w:spacing w:after="0"/>
              <w:rPr>
                <w:sz w:val="19"/>
                <w:szCs w:val="19"/>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Harsco Environmental</w:t>
            </w:r>
          </w:p>
        </w:tc>
        <w:tc>
          <w:tcPr>
            <w:tcW w:w="2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Combined Totals</w:t>
            </w:r>
          </w:p>
        </w:tc>
        <w:tc>
          <w:tcPr>
            <w:tcW w:w="0" w:type="dxa"/>
            <w:vAlign w:val="bottom"/>
          </w:tcPr>
          <w:p>
            <w:pPr>
              <w:spacing w:after="0"/>
              <w:rPr>
                <w:sz w:val="1"/>
                <w:szCs w:val="1"/>
                <w:color w:val="auto"/>
              </w:rPr>
            </w:pPr>
          </w:p>
        </w:tc>
      </w:tr>
      <w:tr>
        <w:trPr>
          <w:trHeight w:val="23"/>
        </w:trPr>
        <w:tc>
          <w:tcPr>
            <w:tcW w:w="5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Primary Geographical Markets </w:t>
            </w:r>
            <w:r>
              <w:rPr>
                <w:rFonts w:ascii="Times New Roman" w:cs="Times New Roman" w:eastAsia="Times New Roman" w:hAnsi="Times New Roman"/>
                <w:sz w:val="9"/>
                <w:szCs w:val="9"/>
                <w:b w:val="1"/>
                <w:bCs w:val="1"/>
                <w:color w:val="auto"/>
              </w:rPr>
              <w:t>(a)</w:t>
            </w: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59,098</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39,618</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98,716</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96,439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21,886</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118,325</w:t>
            </w:r>
          </w:p>
        </w:tc>
        <w:tc>
          <w:tcPr>
            <w:tcW w:w="0" w:type="dxa"/>
            <w:vAlign w:val="bottom"/>
          </w:tcPr>
          <w:p>
            <w:pPr>
              <w:spacing w:after="0"/>
              <w:rPr>
                <w:sz w:val="1"/>
                <w:szCs w:val="1"/>
                <w:color w:val="auto"/>
              </w:rPr>
            </w:pPr>
          </w:p>
        </w:tc>
      </w:tr>
      <w:tr>
        <w:trPr>
          <w:trHeight w:val="3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 (b)</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40,553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42,175</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34,517</w:t>
            </w:r>
          </w:p>
        </w:tc>
        <w:tc>
          <w:tcPr>
            <w:tcW w:w="0" w:type="dxa"/>
            <w:vAlign w:val="bottom"/>
          </w:tcPr>
          <w:p>
            <w:pPr>
              <w:spacing w:after="0"/>
              <w:rPr>
                <w:sz w:val="1"/>
                <w:szCs w:val="1"/>
                <w:color w:val="auto"/>
              </w:rPr>
            </w:pPr>
          </w:p>
        </w:tc>
      </w:tr>
      <w:tr>
        <w:trPr>
          <w:trHeight w:val="3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25,488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25,533</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Europe</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w:t>
            </w:r>
          </w:p>
        </w:tc>
        <w:tc>
          <w:tcPr>
            <w:tcW w:w="0" w:type="dxa"/>
            <w:vAlign w:val="bottom"/>
          </w:tcPr>
          <w:p>
            <w:pPr>
              <w:spacing w:after="0"/>
              <w:rPr>
                <w:sz w:val="1"/>
                <w:szCs w:val="1"/>
                <w:color w:val="auto"/>
              </w:rPr>
            </w:pPr>
          </w:p>
        </w:tc>
      </w:tr>
      <w:tr>
        <w:trPr>
          <w:trHeight w:val="26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256,717</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324,048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Product and Service Groups:</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services related to resource recovery for metals</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 and related logistical services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240,425</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240,425</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Ecoproducts</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12,213</w:t>
            </w:r>
          </w:p>
        </w:tc>
        <w:tc>
          <w:tcPr>
            <w:tcW w:w="0" w:type="dxa"/>
            <w:vAlign w:val="bottom"/>
          </w:tcPr>
          <w:p>
            <w:pPr>
              <w:spacing w:after="0"/>
              <w:rPr>
                <w:sz w:val="1"/>
                <w:szCs w:val="1"/>
                <w:color w:val="auto"/>
              </w:rPr>
            </w:pPr>
          </w:p>
        </w:tc>
      </w:tr>
      <w:tr>
        <w:trPr>
          <w:trHeight w:val="3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systems for aluminum dross and scrap processing</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track maintenance equipment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20,703</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20,703</w:t>
            </w:r>
          </w:p>
        </w:tc>
        <w:tc>
          <w:tcPr>
            <w:tcW w:w="0" w:type="dxa"/>
            <w:vAlign w:val="bottom"/>
          </w:tcPr>
          <w:p>
            <w:pPr>
              <w:spacing w:after="0"/>
              <w:rPr>
                <w:sz w:val="1"/>
                <w:szCs w:val="1"/>
                <w:color w:val="auto"/>
              </w:rPr>
            </w:pPr>
          </w:p>
        </w:tc>
      </w:tr>
      <w:tr>
        <w:trPr>
          <w:trHeight w:val="3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After-market parts and services; safety and diagnostic technology</w:t>
            </w:r>
          </w:p>
        </w:tc>
        <w:tc>
          <w:tcPr>
            <w:tcW w:w="5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28,955</w:t>
            </w:r>
          </w:p>
        </w:tc>
        <w:tc>
          <w:tcPr>
            <w:tcW w:w="0" w:type="dxa"/>
            <w:vAlign w:val="bottom"/>
          </w:tcPr>
          <w:p>
            <w:pPr>
              <w:spacing w:after="0"/>
              <w:rPr>
                <w:sz w:val="1"/>
                <w:szCs w:val="1"/>
                <w:color w:val="auto"/>
              </w:rPr>
            </w:pPr>
          </w:p>
        </w:tc>
      </w:tr>
      <w:tr>
        <w:trPr>
          <w:trHeight w:val="32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contracting services</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17,673</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17,673</w:t>
            </w:r>
          </w:p>
        </w:tc>
        <w:tc>
          <w:tcPr>
            <w:tcW w:w="0" w:type="dxa"/>
            <w:vAlign w:val="bottom"/>
          </w:tcPr>
          <w:p>
            <w:pPr>
              <w:spacing w:after="0"/>
              <w:rPr>
                <w:sz w:val="1"/>
                <w:szCs w:val="1"/>
                <w:color w:val="auto"/>
              </w:rPr>
            </w:pPr>
          </w:p>
        </w:tc>
      </w:tr>
      <w:tr>
        <w:trPr>
          <w:trHeight w:val="26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256,717</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324,048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280" w:type="dxa"/>
            <w:vAlign w:val="bottom"/>
            <w:gridSpan w:val="2"/>
            <w:vMerge w:val="continue"/>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Harsco Environmental</w:t>
            </w:r>
          </w:p>
        </w:tc>
        <w:tc>
          <w:tcPr>
            <w:tcW w:w="12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Harsco Rail</w:t>
            </w:r>
          </w:p>
        </w:tc>
        <w:tc>
          <w:tcPr>
            <w:tcW w:w="180" w:type="dxa"/>
            <w:vAlign w:val="bottom"/>
          </w:tcPr>
          <w:p>
            <w:pPr>
              <w:spacing w:after="0"/>
              <w:rPr>
                <w:sz w:val="19"/>
                <w:szCs w:val="19"/>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Combined Totals</w:t>
            </w:r>
          </w:p>
        </w:tc>
        <w:tc>
          <w:tcPr>
            <w:tcW w:w="0" w:type="dxa"/>
            <w:vAlign w:val="bottom"/>
          </w:tcPr>
          <w:p>
            <w:pPr>
              <w:spacing w:after="0"/>
              <w:rPr>
                <w:sz w:val="1"/>
                <w:szCs w:val="1"/>
                <w:color w:val="auto"/>
              </w:rPr>
            </w:pPr>
          </w:p>
        </w:tc>
      </w:tr>
      <w:tr>
        <w:trPr>
          <w:trHeight w:val="23"/>
        </w:trPr>
        <w:tc>
          <w:tcPr>
            <w:tcW w:w="6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Primary Geographical Markets </w:t>
            </w:r>
            <w:r>
              <w:rPr>
                <w:rFonts w:ascii="Times New Roman" w:cs="Times New Roman" w:eastAsia="Times New Roman" w:hAnsi="Times New Roman"/>
                <w:sz w:val="9"/>
                <w:szCs w:val="9"/>
                <w:b w:val="1"/>
                <w:bCs w:val="1"/>
                <w:color w:val="auto"/>
              </w:rPr>
              <w:t>(a)</w:t>
            </w: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55,226</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92,202</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27,224</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124,868</w:t>
            </w:r>
          </w:p>
        </w:tc>
        <w:tc>
          <w:tcPr>
            <w:tcW w:w="0" w:type="dxa"/>
            <w:vAlign w:val="bottom"/>
          </w:tcPr>
          <w:p>
            <w:pPr>
              <w:spacing w:after="0"/>
              <w:rPr>
                <w:sz w:val="1"/>
                <w:szCs w:val="1"/>
                <w:color w:val="auto"/>
              </w:rPr>
            </w:pPr>
          </w:p>
        </w:tc>
      </w:tr>
      <w:tr>
        <w:trPr>
          <w:trHeight w:val="32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 (b)</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33,924</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w:t>
            </w:r>
          </w:p>
        </w:tc>
        <w:tc>
          <w:tcPr>
            <w:tcW w:w="0" w:type="dxa"/>
            <w:vAlign w:val="bottom"/>
          </w:tcPr>
          <w:p>
            <w:pPr>
              <w:spacing w:after="0"/>
              <w:rPr>
                <w:sz w:val="1"/>
                <w:szCs w:val="1"/>
                <w:color w:val="auto"/>
              </w:rPr>
            </w:pPr>
          </w:p>
        </w:tc>
      </w:tr>
      <w:tr>
        <w:trPr>
          <w:trHeight w:val="32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Europe</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6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243,106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313,053</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Product and Service Groups:</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services related to resource recovery for metals manufacturing and</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logistical services</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227,205</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Ecoproducts</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32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systems for aluminum dross and scrap processing</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track maintenance equipment</w:t>
            </w:r>
          </w:p>
        </w:tc>
        <w:tc>
          <w:tcPr>
            <w:tcW w:w="5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0" w:type="dxa"/>
            <w:vAlign w:val="bottom"/>
          </w:tcPr>
          <w:p>
            <w:pPr>
              <w:spacing w:after="0"/>
              <w:rPr>
                <w:sz w:val="1"/>
                <w:szCs w:val="1"/>
                <w:color w:val="auto"/>
              </w:rPr>
            </w:pPr>
          </w:p>
        </w:tc>
      </w:tr>
      <w:tr>
        <w:trPr>
          <w:trHeight w:val="32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After-market parts and services; safety and diagnostic technology</w:t>
            </w:r>
          </w:p>
        </w:tc>
        <w:tc>
          <w:tcPr>
            <w:tcW w:w="5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0" w:type="dxa"/>
            <w:vAlign w:val="bottom"/>
          </w:tcPr>
          <w:p>
            <w:pPr>
              <w:spacing w:after="0"/>
              <w:rPr>
                <w:sz w:val="1"/>
                <w:szCs w:val="1"/>
                <w:color w:val="auto"/>
              </w:rPr>
            </w:pPr>
          </w:p>
        </w:tc>
      </w:tr>
      <w:tr>
        <w:trPr>
          <w:trHeight w:val="32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Railway contracting services</w:t>
            </w:r>
          </w:p>
        </w:tc>
        <w:tc>
          <w:tcPr>
            <w:tcW w:w="5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243,106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313,053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attributed to individual countries based on the location of the facility generating the revenue.</w:t>
      </w:r>
    </w:p>
    <w:p>
      <w:pPr>
        <w:spacing w:after="0" w:line="28"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Mexico.</w:t>
      </w:r>
    </w:p>
    <w:p>
      <w:pPr>
        <w:spacing w:after="0" w:line="19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New Enviri may receive payments in advance of earning revenue (advances on contracts), which are included in Other current liabilities and Other liabilities on the Condensed Combined Balance Sheets. New Enviri may recognize revenue in advance of being able to contractually invoice the customer (contract assets), which is included in Other current assets on the Condensed Combined Balance Sheets. Contract assets are transferred to Trade accounts receivable, net, when the right to payment becomes unconditional. Contract assets and advances on contracts are reported as a net position, on a contract-by-contract basis, at the end of each reporting period. These instances are primarily related to Rail.</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New Enviri had contract assets totaling $75.2 million and $69.1 million at March 31, 2026 and December 31, 2025, respectively. New Enviri had advances on contracts totaling $9.1 million and $8.2 million at March 31, 2026 and December 31, 2025, respectively. The increase in advances on contracts is due principally to an excess of new advances over the recognition of revenue on previously received advances on contracts during the period. During the three months ended March 31, 2026, New Enviri recognized $4.7 million of revenue related to amounts previously included in advances on contracts. During the three months ended March 31, 2025, New Enviri recognized revenues of $17.6 million related to amounts previously included in advances on contracts.</w:t>
      </w:r>
    </w:p>
    <w:p>
      <w:pPr>
        <w:spacing w:after="0" w:line="13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table below represents the expected fulfillment year of New Enviri's fixed, unsatisfied performance obligations, where the expected contract duration exceeds one year, by segment, and excludes any variable fees, fixed fees subject to indexation and any performance obligations expected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Harsco Environmental</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Harsco Rail</w:t>
            </w:r>
          </w:p>
        </w:tc>
      </w:tr>
      <w:tr>
        <w:trPr>
          <w:trHeight w:val="226"/>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42,885</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13,354</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9,063</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108,990</w:t>
            </w:r>
          </w:p>
        </w:tc>
      </w:tr>
    </w:tbl>
    <w:p>
      <w:pPr>
        <w:spacing w:after="0" w:line="2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Rail is currently manufacturing highly-engineered equipment under large long-term fixed-price contracts with SBB, Network Rail, and Deutsche Bahn. As previously disclosed, New Enviri has recognized estimated forward loss provisions related to these contracts due to several factors, such as material and labor cost inflation, supply chain delays, the bankruptcy of key vendors, increased engineering efforts and challenges encountered with homologation and commissioning of equipment.</w:t>
      </w:r>
    </w:p>
    <w:p>
      <w:pPr>
        <w:spacing w:after="0" w:line="12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For the Network Rail contract, no adjustment was made to the forward loss provision for the three months ended March 31, 2026. During the three months ended March 31, 2025, New Enviri recorded an additional forward loss provision of $1.1 million primarily related to increased estimated engineering and manufacturing costs.</w:t>
      </w:r>
    </w:p>
    <w:p>
      <w:pPr>
        <w:spacing w:after="0" w:line="12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For the Deutsche Bahn contract, no adjustment was made to the forward loss provision during the three months ended March 31, 2026. During the three months ended March 31, 2025, New Enviri recorded a net favorable adjustment of $13.3 million that was the result of an amendment to the contract with Deutsche Bahn which included additional pricing, as well as an extension of the delivery schedule for the machines which resulted in a reduction of the previous estimate of penalties. The increased pricing and reduction of penalties were recorded as an increase to revenue. Partially offsetting this were higher estimated material, manufacturing and engineering costs.</w:t>
      </w:r>
    </w:p>
    <w:p>
      <w:pPr>
        <w:spacing w:after="0" w:line="1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the SBB contract, no adjustment was made to the forward loss provision during the three months ended March 31, 2026. For the three months ended March 31, 2025, New Enviri recorded an additional loss provision of $1.1 million due to an increased estimate for engineering costs and a supplier claim.</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estimated forward loss provisions represent New Enviri's best estimate based on currently available information. It is possible that New Enviri's overall estimate of liquidated damages, penalties and costs to complete these contracts may change, which could result in an additional estimated forward loss provision at such time that could be material. New Enviri will continue to update its estimates to complete these contracts, which will include the effect of negotiations with the customers regarding measures to improve the overall economics of the contracts, to include price increases, change orders and extensions to delivery schedules. To that extent, New Enviri is currently in discussions with Network Rail and has sent Network Rail a letter communicating the need to bring the negotiations to closure and summarizing various options, including a substantial revision of the contract’s economic terms or finding a mutually acceptable exit to this contract. If New Enviri were to exit this contract and/or other contracts, it could result in a material unfavorable impact to New Enviri's results of operations and cash flows.</w:t>
      </w:r>
    </w:p>
    <w:p>
      <w:pPr>
        <w:spacing w:after="0" w:line="13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contracts with Network Rail, Deutsche Bahn and SBB are 68%, 56% and 91% complete, respectively, based on costs incurred under the cost-to-cost method to measure progress.</w:t>
      </w:r>
    </w:p>
    <w:p>
      <w:pPr>
        <w:spacing w:after="0" w:line="10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New Enviri provides assurance type warranties primarily for product sales at Rail. These warranties are typically not priced or negotiated separately (there is no option to separately purchase the warranty) or the warranty does not provide customers with a service in addition to the assurance that the product complies with agreed-upon specifications. Accordingly, such warranties do not represent separate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Other Expense (Income), Net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major components of this Condensed Combined Statements of Operations caption were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 costs</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324"/>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for exit activities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sale of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80" w:hanging="248"/>
        <w:spacing w:after="0"/>
        <w:tabs>
          <w:tab w:leader="none" w:pos="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the planned sale of Clean Earth</w:t>
      </w: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with Parent and Related Entities</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Historically, New Enviri has been managed and operated in the normal course of business consistent with other affiliates of Enviri. Accordingly, certain shared costs have been allocated to New Enviri and are reflected as expenses in the Condensed Combined Financial Statements. The expenses reflected on the Condensed Combined Financial Statements may not be indicative of the actual expenses that would have incurred during the periods presented if New Enviri historically operated as a separate, stand-alone company. In addition, the expenses reflected in the Condensed Combined Financial Statements may not be indicative of expenses that New Enviri could incur in the future.</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All significant intercompany transactions between New Enviri and the Parent that have not been historically cash settled are deemed to be intercompany financing transactions and are treated as contributions from or distributions to the Parent. All intercompany accounts, profits and transactions among New Enviri’s combined entities have been eliminated.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 and Notes Payables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Related party notes payables of $189.0 million and $182.1 million as of March 31, 2026 and December 31, 2025, respectively, consist of balances entirely related to the AR Facility detailed in Note 4, Trade Accounts Receivables and Other Receivables. The Related party receivable account has no balance as of March 31, 2026 and December 31, 2025. As the counterparty of these related party transactions is under common control, there is a right of offset as treasury can move cash between entities to settle balances as needed to execute the cash management strategies of New Enviri.</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Allocation of Corporate Costs</w:t>
      </w:r>
    </w:p>
    <w:p>
      <w:pPr>
        <w:spacing w:after="0" w:line="1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Condensed Combined Financial Statements include corporate costs incurred by the Parent for services provided to or on behalf of New Enviri, including, but not limited to, general corporate expenses related to finance, legal, information technology, human resources, shared services, executive expenses and corporate initiatives. These costs consist of allocated cost pools and 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These costs have been attributed to New Enviri directly when identifiable, with the remainder allocated on the basis of revenues or headcount. Management of New Enviri considers these allocations to be a reasonable reflection of the utilization of services by, or the benefits provided to, New Enviri. These allocations may not, however, reflect the expense New Enviri would have incurred as a separate, stand-alone company for the periods presented. Actual costs that may have been incurred if New Enviri had been a separate,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3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Total general corporate expenses incurred by Parent that are allocated to New Enviri in the Condensed Combined Statements of Operations for the three months ended March 31, 2026 and 2025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allocated costs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Enviri maintains several stock-based incentive plans (collectively, the “Plans”) for the benefit of certain of its officers, directors, and employees, including the employees of New Enviri. The following disclosures below represent our portion of the Plans maintained by Enviri in which our employees participated. All awards granted under the Plans consist of Enviri common shares. Accordingly, the amounts presented are not necessarily indicative of future performance and do not necessarily reflect the results that New Enviri would have experienced as a separate, stand-alone company for the periods presented.</w:t>
      </w:r>
    </w:p>
    <w:p>
      <w:pPr>
        <w:spacing w:after="0" w:line="1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Stock-based compensation expense includes expense attributable to New Enviri based on awards and terms previously granted to New Enviri’s employees (“Direct Employees”) and an allocation of the Parent’s corporate and shared functional employee (“Shared Employees”) expenses. Total costs charged to New Enviri related to employee participation in the incentive plans were $1.2 million and $2.2 million during the three months ended March 31, 2026 and 2025, respectively. These charges are included within the Selling, general and administrative expenses and are presented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4"/>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Recorded for Direct Employees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324"/>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 Allocated for Shared Employees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8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the Board of Directors approves the granting of PSUs to officers and certain key employees that may be earned based on the Company's total shareholder return over the three-year performance period. For 2025, a portion of the PSUs that were granted are to be settled in cash and are, therefore, accounted for as a liability with changes in value recorded through earnings at the end of each reporting period and is included in Other liabilities on New Enviri's Condensed Combined Balance Sheets. PSUs granted prior to 2025 did not have an option for cash payment. Total compensation expense related to cash-settled PSUs was $0.6 million and $0.1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Components of Accumulated Other Comprehensive Loss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AOCI is included on the Condensed Combined Statements of Changes in Parent Company Net Investment. The components of AOCI, net of the effect of income taxes, and activity for the three months ended March 31, 2026 and 2025 were as follows: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Components of AOCI, Net of Tax</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36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of Derivatives</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Actuarial Losses 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Obligations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(204,315)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(305,419)</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25</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(509,380)</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OCI before reclassifications </w:t>
            </w:r>
            <w:r>
              <w:rPr>
                <w:rFonts w:ascii="Times New Roman" w:cs="Times New Roman" w:eastAsia="Times New Roman" w:hAnsi="Times New Roman"/>
                <w:sz w:val="18"/>
                <w:szCs w:val="18"/>
                <w:color w:val="auto"/>
                <w:vertAlign w:val="superscript"/>
              </w:rPr>
              <w:t>(a)(b)</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 net of tax</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OCI</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OCI attributable to noncontrolling interests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OCI attributable to New Enviri</w:t>
            </w: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10,107</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jc w:val="center"/>
              <w:ind w:left="64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(295,312)</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(502,653)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Components of AOCI, Net of Tax</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36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of Derivatives</w:t>
            </w: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780" w:type="dxa"/>
            <w:vAlign w:val="bottom"/>
          </w:tcPr>
          <w:p>
            <w:pPr>
              <w:spacing w:after="0"/>
              <w:rPr>
                <w:sz w:val="6"/>
                <w:szCs w:val="6"/>
                <w:color w:val="auto"/>
              </w:rPr>
            </w:pPr>
          </w:p>
        </w:tc>
        <w:tc>
          <w:tcPr>
            <w:tcW w:w="134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37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40" w:type="dxa"/>
            <w:vAlign w:val="bottom"/>
            <w:gridSpan w:val="3"/>
            <w:vMerge w:val="restart"/>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Actuarial Losses 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restart"/>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3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Pension Obligations</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5"/>
        </w:trPr>
        <w:tc>
          <w:tcPr>
            <w:tcW w:w="3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(303,288)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(528,062)</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OCI before reclassifications </w:t>
            </w:r>
            <w:r>
              <w:rPr>
                <w:rFonts w:ascii="Times New Roman" w:cs="Times New Roman" w:eastAsia="Times New Roman" w:hAnsi="Times New Roman"/>
                <w:sz w:val="18"/>
                <w:szCs w:val="18"/>
                <w:color w:val="auto"/>
                <w:vertAlign w:val="superscript"/>
              </w:rPr>
              <w:t>(a)(b)</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 net of tax</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OCI</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13,155</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OCI attributable to noncontrolling interests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OCI attributable to New Enviri</w:t>
            </w: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12,788</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(217,092)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(522,850)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40" w:hanging="190"/>
        <w:spacing w:after="0"/>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foreign currency fluctuation.</w:t>
      </w:r>
    </w:p>
    <w:p>
      <w:pPr>
        <w:spacing w:after="0" w:line="149" w:lineRule="exact"/>
        <w:rPr>
          <w:rFonts w:ascii="Times New Roman" w:cs="Times New Roman" w:eastAsia="Times New Roman" w:hAnsi="Times New Roman"/>
          <w:sz w:val="14"/>
          <w:szCs w:val="14"/>
          <w:color w:val="auto"/>
        </w:rPr>
      </w:pPr>
    </w:p>
    <w:p>
      <w:pPr>
        <w:ind w:left="560" w:hanging="210"/>
        <w:spacing w:after="0"/>
        <w:tabs>
          <w:tab w:leader="none" w:pos="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net change from periodic revaluations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reclassified from AOCI were as follows:</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20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2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22"/>
                <w:szCs w:val="22"/>
                <w:color w:val="auto"/>
              </w:rPr>
            </w:pPr>
          </w:p>
        </w:tc>
        <w:tc>
          <w:tcPr>
            <w:tcW w:w="35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Location on the Condensed Combined Statements of</w:t>
            </w:r>
          </w:p>
        </w:tc>
        <w:tc>
          <w:tcPr>
            <w:tcW w:w="0" w:type="dxa"/>
            <w:vAlign w:val="bottom"/>
          </w:tcPr>
          <w:p>
            <w:pPr>
              <w:spacing w:after="0"/>
              <w:rPr>
                <w:sz w:val="1"/>
                <w:szCs w:val="1"/>
                <w:color w:val="auto"/>
              </w:rPr>
            </w:pPr>
          </w:p>
        </w:tc>
      </w:tr>
      <w:tr>
        <w:trPr>
          <w:trHeight w:val="50"/>
        </w:trPr>
        <w:tc>
          <w:tcPr>
            <w:tcW w:w="42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 cash flow hedging instruments: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forward contracts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4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revenues</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of cash flow hedging instruments</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 defined benefit pension items</w:t>
            </w:r>
            <w:r>
              <w:rPr>
                <w:rFonts w:ascii="Times New Roman" w:cs="Times New Roman" w:eastAsia="Times New Roman" w:hAnsi="Times New Roman"/>
                <w:sz w:val="23"/>
                <w:szCs w:val="23"/>
                <w:b w:val="1"/>
                <w:bCs w:val="1"/>
                <w:color w:val="auto"/>
                <w:vertAlign w:val="superscript"/>
              </w:rPr>
              <w:t>(c)</w:t>
            </w: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4,505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4,483</w:t>
            </w: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Defined benefit pension income (expense)</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costs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Defined benefit pension income (expense)</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4,613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4,596</w:t>
            </w:r>
          </w:p>
        </w:tc>
        <w:tc>
          <w:tcPr>
            <w:tcW w:w="3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 of defined benefit pension items</w:t>
            </w: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4,613</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4,596</w:t>
            </w:r>
          </w:p>
        </w:tc>
        <w:tc>
          <w:tcPr>
            <w:tcW w:w="356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652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 These AOCI components are included in the computation of net periodic pension costs. See Note 10, Employee Benefit Plans, for additional details.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0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These Condensed Combined Financial Statements are derived from the condensed consolidated financial statements of Enviri, which issued its quarterly financial statements for the quarterly period ended March 31, 2026 on May 11, 2026. Accordingly, New Enviri has evaluated recognizable subsequent events through the date of May 11, 2026 and non-recognizable subsequent events through June 8, 2026, the date these Condensed Combined Financial Statements were available for issuance.</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June 1, 2026, through the Transactions, Enviri completed the sale of the Clean Earth segment to Veolia for approximately 3.0 billion, subject to customary adjustments. Of the aggregate consideration, 1.3 billion was paid directly to the stockholders of CE Holdings, the former stockholders of Enviri, and the remaining 1.7 billion was paid directly to Enviri LLC, as successor by merger to the Company, pursuant to an intercompany note issued by CE Holdings to Enviri LLC in connection with the Reorganization. The 1.7 billion was primarily used to pay off the entirety of the outstanding balances on the Revolving Credit Facility and a portion of the Term Loan, redeem the Senior Notes in full, repay the AR Facility in connection with its termination, pay transaction expenses and retain cash to support Rail's large European engineered-to-order rail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5"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nature of the Company's business, together with the number of countries in which it operates, subject it to changing economic, competitive, regulatory and technological conditions, risks and uncertainties. In accordance with the "safe harbor" provisions of Section 27A of the Securities Act of 1933 and Section 21E of the Securities Exchange Act of 1934 (the "Exchange Act"), the Company provides the following cautionary remarks regarding important factors that, among others, could cause future results to differ materially from the results contemplated by forward-looking statements, including the expectations and assumptions expressed or implied herein. Forward-looking statements contained herein could include, among other things, statements about management's confidence in and strategies for performance;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differ, perhaps materially, from those implied by forward-looking statements include, but are not limited to:</w:t>
      </w:r>
    </w:p>
    <w:p>
      <w:pPr>
        <w:spacing w:after="0" w:line="239"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and Separation may not ultimately achieve the expected benefits;</w:t>
      </w:r>
    </w:p>
    <w:p>
      <w:pPr>
        <w:spacing w:after="0" w:line="1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implement its business strategy and improvement initiatives and realize the expected benefits therefrom;</w:t>
      </w:r>
    </w:p>
    <w:p>
      <w:pPr>
        <w:spacing w:after="0" w:line="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enter into new contracts and complete new acquisitions, divestitures, or strategic ventures in the time-frame contemplated or at all;</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comply with applicable environmental and safety laws and regulations;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obtain, renew, or maintain compliance with its operating permits or license agreements;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economic, business, and regulatory risks associated with the industries in which the Company operates;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nature of the Company's business;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caused by customer concentration, fixed-price and long-term customer contracts, especially those related to complex engineered equipment and the competitive nature of the industries in which the Company operates;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disputes with customers, contractors and subcontractors;</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Company's customers, including the ability of customers (especially those that may be highly leveraged or have inadequate liquidity) to maintain their credit availability;</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claims under the Company’s insurance policies, or losses that are uninsurable or that exceed existing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competitive changes, including pricing pressures, market demand and acceptance for new products, services and technologies; changes in currency exchange rates, interest rates, commodity and fuel costs and capital costs;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negotiate, complete, and integrate strategic transactions and joint ventures with strategic partners;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effectively retain key management and employees, including due to unanticipated changes to demand for the Company’s services, disruptions associated with labor disputes, and increased operating costs associated with union organizations;</w:t>
      </w:r>
    </w:p>
    <w:p>
      <w:pPr>
        <w:ind w:left="660" w:right="24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or failure to protect its intellectual property rights from infringement in one or more of the many countries in which the Company operates;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prevent, detect or recover from breaches in the Company's cybersecurity infrastructure;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worldwide business environment in which the Company operates, including changes in general economic and industry conditions and cyclical slowdowns impacting the steel and aluminum industries;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other currencies in which the Company conducts business;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in one or more of the many countries in which the Company operates due to changes in economic conditions, changes in governmental laws and regulations, including environmental, occupational health and safety, tax and import tariff standards and amounts; political instability, civil disobedience, armed hostilities, public health issues or other calamities;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and implementation of environmental remediation matters;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and warranty claims associated with the Company’s operations;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financial covenants and obligations to financial counterparties;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outstanding indebtedness and exposure to derivative financial instruments that may be impacted by, among other factors, changes in interest rates;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changes in tax laws;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of equity and bond markets that could affect, among other things, the valuation of the assets in the Company's pension plans and the accounting for pension assets, liabilities and expenses;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uncertainty associated with intangible assets; and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listed from time to time in the Company's SEC reports.</w:t>
      </w:r>
    </w:p>
    <w:p>
      <w:pPr>
        <w:spacing w:after="0" w:line="3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further discussion of these, along with other potential risk factors, can be found under the heading, "Risk Factors," in the Company's Information Statement (the "Information Statement"), dated May 8, 2026, attached as Exhibit 99.1 to the Company's Current Report on Form 8-K furnished to the SEC on May 11, 2026 and in Part II, Item 1A, "Risk Factors" of this Quarterly Report on Form 10-Q. The Company cautions that these factors may not be exhaustive and that many of these factors are beyond the Company's ability to control or predict. Accordingly, forward-looking statements should not be relied upon as a prediction of actual results. The Company undertakes no duty to update forward-looking statements except as may be required by law.</w:t>
      </w: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Notwithstanding the legal form of the Spin-Off described elsewhere in this Quarterly Report on Form 10-Q, New Enviri is treated as the “accounting spinnor” of CE Holdings and is the “accounting successor” to Enviri for accounting and financial reporting purposes. Therefore, the Management’s Discussion and Analysis of Financial Condition and Results of Operations presented in this section is the historical Management’s Discussion and Analysis of Financial Condition and Results of Operations of Enviri for the quarter ended March 31, 2026, which was issued by Enviri prior to the completion of the Transactions, on May 11, 2026.</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presented in this Management’s Discussion and Analysis of Financial Condition and Results of Operations is provided as of May 11, 2026, unless otherwise indicated or the context otherwise requires. As a result, it presents historical information about Enviri prior to the completion of the Transactions and includes the Clean Earth Business that is not part of New Enviri. See “Explanatory Note” for additional information.</w:t>
      </w:r>
    </w:p>
    <w:p>
      <w:pPr>
        <w:spacing w:after="0" w:line="2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unaudited condensed consolidated financial statements, including the notes hereto, in this Quarterly Report on Form 10-Q, as well as the audited consolidated financial statements of the Company, including the notes thereto, included in the Company’s Information Statement, dated May 8, 2026, attached as Exhibit 99.1 to the Company's Current Report on Form 8-K furnished to the SEC on May 11, 2026, which includes additional information about the Company’s critical accounting policies, contractual obligations, practices and the transactions that support the financial results. The following discussion may contain forward-looking statements that reflect Enviri’s plans, estimates and beliefs as of May 11, 2026. The words “may,” “could,” “expect,” “anticipate,” “intend,” “believe,” “likely,” “estimate,” “outlook,” “plan,” “contemplate,” “project,” “target” or other comparable terms, among others, generally identify “forward-looking statements,” which speak only as of May 11, 2026. These statements could include, among other things, statements about Enviri’s management’s confidence in and strategies for performance; expectations for new and existing products, technologies and opportunities; and expectations regarding growth, sales, cash flows and earnings. The matters discussed in these forward-looking statements are subject to risks, uncertainties and other factors that could cause actual results to differ materially from those made, projected or implied in the forward-looking statements. Factors that could cause or contribute to these differences include those discussed below and elsewhere in this Quarterly Report on Form 10-Q, particularly under the heading “Forward-Looking Statements.”</w:t>
      </w:r>
    </w:p>
    <w:p>
      <w:pPr>
        <w:spacing w:after="0" w:line="2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used in this section, the term "New Enviri" means Enviri II Corporation, renamed Enviri Corporation on June 2, 2026, a Delaware corporation, and its direct and indirect subsidiaries after giving effect to the Spin-Off. As used in this section, the terms “Enviri,” the “Company,” “we,” “us” and “our,” unless otherwise specified, mean Enviri Corporation, a Delaware corporation, and its direct and indirect subsidiaries prior to the completion of the Holding Company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Enviri is a market-leading, global provider of environmental solutions for industrial, retail and medical waste streams and innovative equipment and technology for the rail sector. Today, Enviri is principally an environmental solutions company that provides services to manage, recycle and beneficially reuse waste and byproduct materials across many industries. Enviri was incorporated in 1956 and has locations in approximately 30 countries, including the U.S.</w:t>
      </w:r>
    </w:p>
    <w:p>
      <w:pPr>
        <w:spacing w:after="0" w:line="20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Enviri's operations consisted of three reportable segments: Harsco Environmental, Clean Earth and Harsco Rail. HE operates primarily under long-term contracts, providing critical environmental services and material processing to the global steel and metals industries, including zero waste solutions for manufacturing byproducts within the metals industry. CE provides specialty waste processing, treatment, recycling and beneficial reuse solutions for customers in the industrial, retail, healthcare and construction industries across a variety of waste needs, including hazardous, non-hazardous and contaminated soils and dredged materials. Rail is a provider of highly engineered maintenance equipment, after-market parts and safety and diagnostic systems and contracting solutions, which support railroad and transit customers worldwide.</w:t>
      </w: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Enviri’s business is subject to risks related to doing business internationally, including tariff policy or tariff regulation, as well as international political and trade tensions. In 2025, the U.S. government announced tariffs on goods imported into the U.S. from most countries and multiple nations countered with tariffs and other actions in response. Subsequently, the U.S. government has negotiated trade agreements with certain countries while negotiations with others are ongoing. Additionally, in early 2025, the European Union (the "EU") announced plans to lower import quotas and implement anti-dumping duties against various countries that have imported certain steel products into the region. In October 2025, the European Commission formally proposed significant actions to protect its steel industry, including a sizable reduction in steel import quotas and a meaningful tariff increase on above-quota imports. These proposals require EU parliament and council approvals, which are anticipated in 2026. These efforts by the EU are intended to support a healthy industrial manufacturing base in the region. Also, the military conflict in the Middle East has led to volatile energy prices globally and higher costs for consumers.</w:t>
      </w:r>
    </w:p>
    <w:p>
      <w:pPr>
        <w:spacing w:after="0" w:line="2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23, 2026, the Company amended its Senior Secured Credit Facilities to extend the maturity of its $50.0 million non-extended revolving credit facility from March 10, 2026 to the earlier of (i) July 1, 2026, and (ii) the closing date on which the Clean Earth segment is sold to Veolia in connection with the Merger Agreement. As described below, the sale of the Clean Earth segment was executed on June 1, 2026 and, as a result, the $50.0 million portion of the non-extended revolving credit facility was included in New Enviri's repayment of indebtedness on June 1, 2026.</w:t>
      </w:r>
    </w:p>
    <w:p>
      <w:pPr>
        <w:spacing w:after="0" w:line="193"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On June 1, 2026, the Company executed the Transactions, whereby Veolia acquired 100% of the Clean Earth segment for an aggregate cash consideration of over $3.0 billion pursuant to the terms of the Merger Agreement. Immediately prior to the closing of the Merger, the Company executed a series of reorganizational transactions and the Separation, following which the Harsco Environmental and Harsco Rail segments are now indirectly owned by New Enviri. These transactions did not result in any material cash tax expense to Enviri or New Enviri.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Amounts included in this Part I. Item 2. Results of Operations are rounded in millions and all percentages are calculated on actual amounts. As a result, minor differences may exist due to rounding.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256.7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Clean Earth</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225.8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67.3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549.8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Clean Earth</w:t>
            </w:r>
          </w:p>
        </w:tc>
        <w:tc>
          <w:tcPr>
            <w:tcW w:w="36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(21.8)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Clean Earth</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operating margin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
        </w:trPr>
        <w:tc>
          <w:tcPr>
            <w:tcW w:w="8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Harsco Environmental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Significant Effects on Revenues </w:t>
            </w: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14"/>
        </w:trPr>
        <w:tc>
          <w:tcPr>
            <w:tcW w:w="9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25"/>
        </w:trPr>
        <w:tc>
          <w:tcPr>
            <w:tcW w:w="9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30"/>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impact of new and lost contracts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effects of price/volume changes, primarily attributable to volume changes and services mix</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contributed to the changes in operating income (loss) during the three months ended March 31, 2026:</w:t>
      </w:r>
    </w:p>
    <w:p>
      <w:pPr>
        <w:spacing w:after="0" w:line="252" w:lineRule="exact"/>
        <w:rPr>
          <w:sz w:val="20"/>
          <w:szCs w:val="20"/>
          <w:color w:val="auto"/>
        </w:rPr>
      </w:pPr>
    </w:p>
    <w:p>
      <w:pPr>
        <w:ind w:left="660" w:right="70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included $3.3 million in employee termination benefit costs and other related costs pertaining to restructuring activities, which did not reoccur during the three months ended March 31, 2026.</w:t>
      </w:r>
    </w:p>
    <w:p>
      <w:pPr>
        <w:ind w:left="660" w:right="30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from environmental service contracts during the three months ended March 31, 2026, when compared with the three months ended March 31, 2025, decreased primarily due to an unfavorable service mix, partially offset by an increase in revenues from overall service levels.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revenues from a decrease in volumes from the Altek Group unfavorably impacted operating income by $1.0 million for the three months ended March 31, 2026, when compared to the three months ended March 31, 2025.</w:t>
      </w:r>
    </w:p>
    <w:p>
      <w:pPr>
        <w:ind w:left="660" w:right="14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net effects from new and lost contracts resulted in a decrease in operating income of $0.9 million during the three months ended March 31, 2026, compared to the three months ended March 31,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Clean Earth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Effects on Revenues (in millions)</w:t>
            </w:r>
          </w:p>
        </w:tc>
        <w:tc>
          <w:tcPr>
            <w:tcW w:w="160" w:type="dxa"/>
            <w:vAlign w:val="bottom"/>
          </w:tcPr>
          <w:p>
            <w:pPr>
              <w:spacing w:after="0"/>
              <w:rPr>
                <w:sz w:val="16"/>
                <w:szCs w:val="16"/>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16"/>
        </w:trPr>
        <w:tc>
          <w:tcPr>
            <w:tcW w:w="9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23"/>
        </w:trPr>
        <w:tc>
          <w:tcPr>
            <w:tcW w:w="9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9"/>
        </w:trPr>
        <w:tc>
          <w:tcPr>
            <w:tcW w:w="9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effects of price/volume changes, primarily lower volume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contributed to the changes in operating income (loss) during the three months ended March 31, 2026:</w:t>
      </w:r>
    </w:p>
    <w:p>
      <w:pPr>
        <w:spacing w:after="0" w:line="252" w:lineRule="exact"/>
        <w:rPr>
          <w:sz w:val="20"/>
          <w:szCs w:val="20"/>
          <w:color w:val="auto"/>
        </w:rPr>
      </w:pPr>
    </w:p>
    <w:p>
      <w:pPr>
        <w:jc w:val="both"/>
        <w:ind w:left="660" w:right="60" w:hanging="328"/>
        <w:spacing w:after="0" w:line="257" w:lineRule="auto"/>
        <w:tabs>
          <w:tab w:leader="none" w:pos="656"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A decline in revenues from the hazardous waste business decreased operating income by $3.2 million for the three months ended March 31, 2026, when compared to three months ended March 31, 2025, primarily related to a decrease in volumes due, in part, to unfavorable weather conditions and higher fuel costs, which were partially offset by higher revenues from price increases and a reduction in disposal costs.</w:t>
      </w:r>
    </w:p>
    <w:p>
      <w:pPr>
        <w:spacing w:after="0" w:line="1" w:lineRule="exact"/>
        <w:rPr>
          <w:rFonts w:ascii="Times New Roman" w:cs="Times New Roman" w:eastAsia="Times New Roman" w:hAnsi="Times New Roman"/>
          <w:sz w:val="14"/>
          <w:szCs w:val="14"/>
          <w:b w:val="1"/>
          <w:bCs w:val="1"/>
          <w:color w:val="auto"/>
        </w:rPr>
      </w:pPr>
    </w:p>
    <w:p>
      <w:pPr>
        <w:ind w:left="660" w:right="420" w:hanging="328"/>
        <w:spacing w:after="0" w:line="250" w:lineRule="auto"/>
        <w:tabs>
          <w:tab w:leader="none" w:pos="656"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Selling, general and administrative expenses ("SG&amp;A") increased $2.1 million during the three months ended March 31, 2026 from the same period in 2025, mainly from higher depreciation expense, an unfavorable change in the provision for expected credit losses and information technology-related costs related to system enhancements.</w:t>
      </w:r>
    </w:p>
    <w:p>
      <w:pPr>
        <w:spacing w:after="0" w:line="1" w:lineRule="exact"/>
        <w:rPr>
          <w:rFonts w:ascii="Times New Roman" w:cs="Times New Roman" w:eastAsia="Times New Roman" w:hAnsi="Times New Roman"/>
          <w:sz w:val="14"/>
          <w:szCs w:val="14"/>
          <w:b w:val="1"/>
          <w:bCs w:val="1"/>
          <w:color w:val="auto"/>
        </w:rPr>
      </w:pPr>
    </w:p>
    <w:p>
      <w:pPr>
        <w:jc w:val="both"/>
        <w:ind w:left="660" w:right="180" w:hanging="328"/>
        <w:spacing w:after="0" w:line="255" w:lineRule="auto"/>
        <w:tabs>
          <w:tab w:leader="none" w:pos="656"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three months ended March 31, 2026 included a net decrease of $1.2 million in operating income primarily from lower volumes processed in the soil and dredged materials business at certain sites due, in part, to unfavorable weather conditions, net of pricing changes and volume mix at certain sites, when compared to the three months ended March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Harsco Rail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Effects on Revenue (in millions)</w:t>
            </w:r>
          </w:p>
        </w:tc>
        <w:tc>
          <w:tcPr>
            <w:tcW w:w="160" w:type="dxa"/>
            <w:vAlign w:val="bottom"/>
          </w:tcPr>
          <w:p>
            <w:pPr>
              <w:spacing w:after="0"/>
              <w:rPr>
                <w:sz w:val="16"/>
                <w:szCs w:val="16"/>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16"/>
        </w:trPr>
        <w:tc>
          <w:tcPr>
            <w:tcW w:w="9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23"/>
        </w:trPr>
        <w:tc>
          <w:tcPr>
            <w:tcW w:w="9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effect of price/volume changes, primarily attributable to volume changes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9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revenue adjustments as a result of certain estimated forward loss provisions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9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580" w:firstLine="8"/>
        <w:spacing w:after="0" w:line="298" w:lineRule="auto"/>
        <w:tabs>
          <w:tab w:leader="none" w:pos="2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as a result of an amendment to the Deutsche Bahn contract in 2025, as referenced in Note 15, Revenues to Enviri's unaudited condensed consolidated financial statements in Part I. Financial Statements.</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contributed to the changes in operating income (loss) during the three months ended March 31, 2026:</w:t>
      </w:r>
    </w:p>
    <w:p>
      <w:pPr>
        <w:spacing w:after="0" w:line="252" w:lineRule="exact"/>
        <w:rPr>
          <w:sz w:val="20"/>
          <w:szCs w:val="20"/>
          <w:color w:val="auto"/>
        </w:rPr>
      </w:pPr>
    </w:p>
    <w:p>
      <w:pPr>
        <w:ind w:left="660" w:right="620" w:hanging="328"/>
        <w:spacing w:after="0" w:line="257" w:lineRule="auto"/>
        <w:tabs>
          <w:tab w:leader="none" w:pos="656"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An increase of $3.5 million in operating income due to higher revenues from railway contracting services during the three months ended March 31, 2026, when compared to the three months March 31, 2025, due principally to higher volume in the U.K., inclusive of an annual contractual true-up.</w:t>
      </w:r>
    </w:p>
    <w:p>
      <w:pPr>
        <w:spacing w:after="0" w:line="1" w:lineRule="exact"/>
        <w:rPr>
          <w:rFonts w:ascii="Times New Roman" w:cs="Times New Roman" w:eastAsia="Times New Roman" w:hAnsi="Times New Roman"/>
          <w:sz w:val="14"/>
          <w:szCs w:val="14"/>
          <w:b w:val="1"/>
          <w:bCs w:val="1"/>
          <w:color w:val="auto"/>
        </w:rPr>
      </w:pPr>
    </w:p>
    <w:p>
      <w:pPr>
        <w:ind w:left="660" w:right="14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included a favorable net change in forward estimated loss provisions and related adjustments of $10.4 million related to Enviri's long-term contracts with Network Rail, Deutsche Bahn and SBB, which did not reoccur during the three months ended March 31, 2026. See Note 15, Revenues to Enviri's unaudited condensed consolidated financial statements in Part I. Financial Statements for further discussion.</w:t>
      </w:r>
    </w:p>
    <w:p>
      <w:pPr>
        <w:spacing w:after="0" w:line="1"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$2.6 million in operating income from lower standard equipment revenue and higher manufacturing costs for the three months ended March 31, 2026 from the three months ended March 31, 2025.</w:t>
      </w:r>
    </w:p>
    <w:p>
      <w:pPr>
        <w:ind w:left="660" w:right="740" w:hanging="328"/>
        <w:spacing w:after="0" w:line="290"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$1.9 million in operating income from after-market parts due to higher manufacturing costs during the three months ended March 31, 2026, compared to the three months ended March 31, 2025, partially offset by an increase in sales from higher demand.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Corporate: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income (loss) from continuing operations was negatively impacted by costs of $12.5 million related to the planned sale of Clean Earth during the three months ended March 31, 2026, which did not occur during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6"/>
        </w:trPr>
        <w:tc>
          <w:tcPr>
            <w:tcW w:w="9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5"/>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 and percentages)</w:t>
            </w:r>
          </w:p>
        </w:tc>
        <w:tc>
          <w:tcPr>
            <w:tcW w:w="160" w:type="dxa"/>
            <w:vAlign w:val="bottom"/>
          </w:tcPr>
          <w:p>
            <w:pPr>
              <w:spacing w:after="0"/>
              <w:rPr>
                <w:sz w:val="19"/>
                <w:szCs w:val="19"/>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5"/>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w:t>
            </w:r>
          </w:p>
        </w:tc>
      </w:tr>
      <w:tr>
        <w:trPr>
          <w:trHeight w:val="228"/>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services and products sold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28"/>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1"/>
        </w:trPr>
        <w:tc>
          <w:tcPr>
            <w:tcW w:w="922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Operating income (loss) from continuing operations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fees and debt-related income (expense)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8"/>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Defined benefit pension income (expense)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5"/>
        </w:trPr>
        <w:tc>
          <w:tcPr>
            <w:tcW w:w="9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 and equity in income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8"/>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benefit (expense) from continuing operations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5"/>
        </w:trPr>
        <w:tc>
          <w:tcPr>
            <w:tcW w:w="9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1"/>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businesses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 related to discontinued operations</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1"/>
        </w:trPr>
        <w:tc>
          <w:tcPr>
            <w:tcW w:w="9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Income (loss) from discontinued operations, net of tax</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5"/>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1"/>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5"/>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8"/>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earnings (loss) per common share from continuing operations attributable to Enviri Corporation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3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income tax rate for continuing operations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74.4%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(42.8)%</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Analysis of Consolidated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for the three months ended March 31, 2026 increased by $1.9 million, or 0.3%, from the three months ended March 31, 2025. Foreign currency translation affected revenues by $16.6 million during the three months ended March 31, 2026, compared with the same period in the prior year. Refer to the discussion of segment results above for information pertaining to factors impacting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 and Products Sold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 and products sold for the three months ended March 31, 2026 increased by $19.4 million, or 4.6%, from the three months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changes in cost of services and products sold were attributable to the following significant items: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43"/>
        </w:trPr>
        <w:tc>
          <w:tcPr>
            <w:tcW w:w="100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0" w:type="dxa"/>
            <w:vAlign w:val="bottom"/>
          </w:tcPr>
          <w:p>
            <w:pPr>
              <w:spacing w:after="0"/>
              <w:rPr>
                <w:sz w:val="1"/>
                <w:szCs w:val="1"/>
                <w:color w:val="auto"/>
              </w:rPr>
            </w:pPr>
          </w:p>
        </w:tc>
      </w:tr>
      <w:tr>
        <w:trPr>
          <w:trHeight w:val="223"/>
        </w:trPr>
        <w:tc>
          <w:tcPr>
            <w:tcW w:w="9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products sold —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29"/>
        </w:trPr>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costs due to changes in revenue volume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10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due to costs and revenue mix</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10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services and products sold — March 31, 2026</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w:t>
            </w:r>
          </w:p>
        </w:tc>
        <w:tc>
          <w:tcPr>
            <w:tcW w:w="0" w:type="dxa"/>
            <w:vAlign w:val="bottom"/>
          </w:tcPr>
          <w:p>
            <w:pPr>
              <w:spacing w:after="0"/>
              <w:rPr>
                <w:sz w:val="1"/>
                <w:szCs w:val="1"/>
                <w:color w:val="auto"/>
              </w:rPr>
            </w:pPr>
          </w:p>
        </w:tc>
      </w:tr>
      <w:tr>
        <w:trPr>
          <w:trHeight w:val="20"/>
        </w:trPr>
        <w:tc>
          <w:tcPr>
            <w:tcW w:w="9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SG&amp;A for the three months ended March 31, 2026 increased by $2.3 million, or 2.6%, from the three months ended March 31, 2025, which was primarily driven by higher costs of $1.0 million related to compensation expense, mainly in Corporate and CE, and $0.7 million related to depreciation expense, mostly in CE, for the three months ended March 31, 2026. Foreign currency also negatively impacted SG&amp;A by $1.8 million during the three months ended March 31, 2026 from the same period in 2025, primarily due to HE and Rail. A decrease in professional fees of $1.9 million partially offset these SG&amp;A increases during the three months ended March 31, 2026, when compared to the three months ended March 31, 2025, primarily as a result of Corporate costs incurred during 2025 to support and execute certain of Enviri's long-term strategies.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 Net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this Condensed Consolidated Statements of Operations caption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 costs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for exit activities </w:t>
            </w:r>
            <w:r>
              <w:rPr>
                <w:rFonts w:ascii="Times New Roman" w:cs="Times New Roman" w:eastAsia="Times New Roman" w:hAnsi="Times New Roman"/>
                <w:sz w:val="9"/>
                <w:szCs w:val="9"/>
                <w:color w:val="auto"/>
              </w:rPr>
              <w:t>(a)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center"/>
              <w:ind w:left="293"/>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9"/>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sale of assets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costs related to the planned sale of Clean Earth.</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31"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Interest expense during the three months ended March 31, 2026 increased by $1.3 million, compared with the three months ended March 31, 2025. This increase is mainly driven by higher average borrowings under the Senior Secured Credit Facilities during the three months ended March 31, 2026, when compared to the three months ended March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Fees and Debt-Related Income (Expense)</w:t>
      </w:r>
    </w:p>
    <w:p>
      <w:pPr>
        <w:spacing w:after="0" w:line="3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Enviri recognized facility fee expense mostly related to the AR Facility of $2.3 million during the three months ended March 31, 2026, compared to $2.6 million recognized during the three months ended March 31, 2025. See Note 3, Trade Accounts Receivables and Other Receivables and Note 8, Debt and Credit Agreements, to, in each case, Enviri's unaudited condensed consolidated financial statements in Part I, Item 1. Financial Statements.</w:t>
      </w: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Income (Expense)</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Defined benefit pension expense was $3.9 million and $5.2 million for the three months ended March 31, 2026 and 2025, respectively. This expense decrease is primarily related to a higher expected rate of return on plan assets in the current year, compared to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Income tax benefit from continuing operations for the three months ended March 31, 2026 was $24.4 million, compared to $2.0 million income tax expense for the three months ended March 31, 2025. The change is primarily due to costs of $12.5 million related to the planned sale of Clean Earth during the three months ended March 31, 2026, which did not occur during the three months ended March 31, 2025, lower operating income in Clean Earth and a $5.1 million tax benefit from the vesting of stock-based compensation awards in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p>
      <w:pPr>
        <w:spacing w:after="0" w:line="20"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18"/>
          <w:szCs w:val="18"/>
          <w:color w:val="auto"/>
        </w:rPr>
        <w:t>Loss from continuing operations was $8.4 million for the three months ended March 31, 2026, compared to $6.6 million for the three months ended March 31, 2025. The primary drivers for these changes are noted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Total other comprehensive income was $4.8 million for the three months ended March 31, 2026, compared to total other comprehensive income of $8.1 million for the three months ended March 31, 2025. The primary driver of this decrease was the fluctuation of the U.S. dollar against certain currencies during the three months ended March 31, 2026, inclusive of the impact of foreign currency translation of cumulative unrecognized actuarial losses on Enviri's pension obligations, when compared to the fluctuation of the U.S. dollar against certain currencies during the three months ended March 31, 2025. This was partially offset by the favorable change in valuation of Enviri's interest rate swaps during the three months ended March 31, 2026, when compared to the valuation during the three months ended March 31, 2025, due to the fluctuation of interest rates.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Amounts included in this Part I. Item 2. Liquidity and Capital Resources are rounded in millions and all percentages are calculated on actual amounts. As a result, minor differences may exist due to rounding.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31"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Enviri’s cash flows from operating, investing and financing activities, as reflected on the Condensed Consolidated Statements of Cash Flows, are summarized in the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(used) by:</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including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change in cash and cash equivalents, including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provided by operating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for the three months ended March 31, 2026 was $21.5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cash flows of $14.9 million from the three months ended March 31, 2025, due to a net favorable change in working capital, partially offset by a decrease in cash net income, principally from the deferred income tax benefit of $30.2 million. The favorable working capital changes were primarily from the timing of annual incentive payments for accrued compensation, the timing of receipts and recognition of advances on contracts, mainly related to Rail's contracts, and the timing of inventories, partially offset by unfavorable changes in contract assets principally related to the timing of recognition for Rail's contracts, during the three months ended March 31, 2026.</w:t>
      </w:r>
    </w:p>
    <w:p>
      <w:pPr>
        <w:spacing w:after="0" w:line="20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(used) provided by investing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by investing activities during the three months ended March 31, 2026 was $30.7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net cash used of $12.2 million from net cash used during the three months ended March 31, 2025, primarily due to a $12.1 million increase in purchases for capital expenditures during the three months ended March 31, 2026, when compared to the three months ended March 31, 2025, primarily by CE and HE.</w:t>
      </w: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cash (used) provided by financing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financing activities during the three months ended March 31, 2026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$18.1 million from the three months ended March 31, 2025 attributable to an increase in employee tax payments for stock based compensation of $15.0 million and higher net repayments of Enviri's total debt of $3.1 million during the three months ended March 31,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Enviri’s principal sources of liquidity are cash provided by operations on an annual basis and borrowings under the Senior Secured Credit Facilities, augmented by cash proceeds from asset sales.</w:t>
      </w: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Senior Secured Credit Facilities and Notes: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2"/>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type: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5.75% Senior Notes</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475.0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1,478.5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By classification:</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Long-term</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1,503.3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1,478.5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4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vMerge w:val="restart"/>
          </w:tcPr>
          <w:p>
            <w:pPr>
              <w:spacing w:after="0"/>
              <w:rPr>
                <w:sz w:val="11"/>
                <w:szCs w:val="11"/>
                <w:color w:val="auto"/>
              </w:rPr>
            </w:pPr>
          </w:p>
        </w:tc>
        <w:tc>
          <w:tcPr>
            <w:tcW w:w="134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Outstanding Letters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of Credit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12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color w:val="auto"/>
                <w:vertAlign w:val="superscript"/>
              </w:rPr>
              <w:t>(a)</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right="40" w:firstLine="8"/>
        <w:spacing w:after="0" w:line="263" w:lineRule="auto"/>
        <w:tabs>
          <w:tab w:leader="none" w:pos="2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 million and $625.0 million of revolving credit commitments scheduled to mature on the earlier of (i) July 1, 2026 and (ii) the closing date on which the Clean Earth segment is sold in connection with the Merger agreement, as amended in February 2026, and September 5, 2029, respectively. On June 1, 2026, the full balance that was outstanding on the Revolving Credit Facility was repaid in connection with the Transaction. Refer to Note 8, Debt and Credit Agreements to Enviri's unaudited condensed consolidated financial statements in Part I. Financial Statements for more information related to the Senior Secured Credit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November 2025, Enviri entered into an amendment to the Credit Agreement to, among other things, modify certain levels of its total Net Debt to Consolidated Adjusted EBITDA ratio covenant and permit a distribution of Enviri’s Clean Earth business, together with certain related transactions, including repayments of certain of Enviri's existing indebtedness. Enviri obtained the amendment because its forward-looking projections indicated that it may not meet the minimum level required by the net leverage coverage ratio and to allow for the strategic alternatives it is currently evaluating. As a result of this amendment, the total Net Debt to Consolidated Adjusted EBITDA ratio covenant was set to 5.50x for the quarters ended March 31, 2026, June 30, 2026 and September 30, 2026, 5.00x for the quarter ended December 31, 2026 and 4.50x for the quarter ended March 31, 2027. After giving effect to the distribution of Enviri’s Clean Earth business, the total Net Debt to Consolidated Adjusted EBITDA ratio covenant will be set at 3.00x.</w:t>
      </w:r>
    </w:p>
    <w:p>
      <w:pPr>
        <w:spacing w:after="0" w:line="21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terms of the February 2025 amendment to the Senior Secured Credit Facilities, Enviri's required coverage of consolidated interest charges is set to a minimum of 2.50x for each quarter ended after December 31, 2024.</w:t>
      </w:r>
    </w:p>
    <w:p>
      <w:pPr>
        <w:spacing w:after="0" w:line="189"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At March 31, 2026, Enviri was in compliance with these covenants, as the total net debt to Consolidated Adjusted EBITDA ratio was 4.98x, compared to the permitted maximum ratio of 5.50x, and total interest coverage ratio was 2.78x, compared to the permitted minimum ratio of 2.50x. Based on balances and covenants in effect at March 31, 2026, Enviri could increase net debt by $156.9 million and remain in compliance with these debt covenants.</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Alternatively, Consolidated Adjusted EBITDA could decrease by $28.5 million or interest expense could increase by $11.9 million and Enviri would remain in compliance with these covenants at March 31, 2026.</w:t>
      </w: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 Facility</w:t>
      </w:r>
    </w:p>
    <w:p>
      <w:pPr>
        <w:spacing w:after="0" w:line="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Enviri maintains a revolving trade receivables securitization facility to accelerate cash flows from trade accounts receivable, which is scheduled to mature in October 2027. Under the AR Facility, Enviri and its designated subsidiaries continuously sell their trade receivables as they are originated to the wholly-owned bankruptcy-remote SPE. The SPE transfers ownership and control of qualifying receivables to PNC up to a maximum purchase commitment of $160.0 million. On June 1, 2026, the AR Facility was terminated in connection with the Transactions.</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Enviri received $10.0 million in proceeds from the AR Facility. No proceeds were received from the AR Facility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Management</w:t>
      </w:r>
    </w:p>
    <w:p>
      <w:pPr>
        <w:spacing w:after="0" w:line="3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Enviri has various cash management systems throughout the world that centralize cash in various bank accounts where it is economically justifiable and legally permissible to do so. These centralized cash balances are then redeployed to other operations to reduce short-term borrowings and to finance working capital needs or capital expenditures. Due to the transitory nature of cash balances, they are normally invested in bank deposits that can be withdrawn at will or in very liquid short-term bank time deposits and government obligations. Enviri's policy is to use the largest banks in the various countries in which it operates and monitors the creditworthiness of banks and, when appropriate, will adjust banking operations to reduce or eliminate exposure to less creditworthy banks.</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At March 31, 2026, Enviri's consolidated cash and cash equivalents included $104.2 million held by non-U.S. subsidiaries and approximately 11.0% of the Enviri's consolidated cash and cash equivalents had regulatory restrictions that would preclude the transfer of funds with and among subsidiaries. Non-U.S. subsidiaries also held $41.5 million of cash and cash equivalents in consolidated strategic ventures. The strategic venture agreements may require strategic venture partner approval to transfer funds with and among subsidiaries. While the Enviri's remaining non-U.S. cash and cash equivalents can be transferred with and among subsidiaries, the majority of these non-U.S. cash balances will be used to support the ongoing working capital needs and continued growth of its non-U.S. operations.</w:t>
      </w:r>
    </w:p>
    <w:p>
      <w:pPr>
        <w:spacing w:after="0" w:line="2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2025, in connection with Enviri's contracts with certain customers, Enviri's contingent commercial commitments were updated, in which the terms of the updated agreement with the issuing bank required cash collateral totaling $20.7 million to be held until the contingent commercial commitments are released. Enviri funded this balance in 2025 and it was classified as Restricted Cash on Enviri's Condensed Consolidated Balance Sheets at December 31, 2025. During the three months ended March 31, 2026, $6.2 million of this cash collateral was released back to Enviri.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Information on recently adopted and recently issued accounting standards is included in Note 2, Recently Adopted and Recently Issued Accounting Standards to Enviri's unaudited condensed consolidated financial statements in Part I, Item 1, Financial Statements.</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333"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NEW ENVIRI (SUPPLEMENTAL)</w:t>
      </w:r>
    </w:p>
    <w:p>
      <w:pPr>
        <w:spacing w:after="0" w:line="13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New Enviri’s financial condition and results of operations should be read in conjunction with the accompanying unaudited condensed combined financial statements of New Enviri included in Part I. Financial Statements as well as the audited combined financial statements of New Enviri, included in the Information Statement . Throughout the periods covered by the unaudited condensed combined financial statements and audited combined financial statements, New Enviri operated as part of Enviri. Consequently, stand-alone financial statements have not historically been prepared for New Enviri. The unaudited condensed combined financial statements have been prepared on a “carve-out” basis in accordance with GAAP from Enviri’s consolidated financial statements and accounting records and reflect the New Enviri Business as if New Enviri’s operations had been conducted independently from Enviri. See Note 2, “Basis of Presentation” to New Enviri's unaudited condensed combined financial statements for additional information.</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may contain forward-looking statements that reflect our plans, estimates and beliefs. The words “may,” “could,” “expect,” “anticipate,” “intend,” “believe,” “likely,” “estimate,” “outlook,” “plan,” “contemplate,” “project,” “target” or other comparable terms, among others, generally identify “forward-looking statements,” which speak only as of the date the statements were made. These statements could include, among other things, statements about management’s confidence in and strategies for performance; expectations for new and existing products, technologies and opportunities; and expectations regarding growth, sales, cash flows and earnings. The matters discussed in these forward-looking statements are subject to risks, uncertainties and other factors that could cause actual results to differ materially from those made, projected or implied in the forward-looking statements. Factors that could cause or contribute to these differences include those discussed below and elsewhere in this Quarterly Report on Form 10-Q, particularly under the heading "Forward-Looking Statements," as well as those discussed under the heading "Risk Factors" in the Information Statement.</w:t>
      </w:r>
    </w:p>
    <w:p>
      <w:pPr>
        <w:spacing w:after="0" w:line="21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the terms “New Enviri,” the “Company,” “we,” “us” and “our,” unless otherwise specified, mean Enviri II Corporation (renamed Enviri Corporation on June 2, 2026), a Delaware corporation, and its direct and indirect subsidiaries after giving effect to the Spin-Off.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1, 2026, the Transactions were completed, resulting in, among other things, New Enviri owning all of the equity interests in Enviri LLC, Enviri LLC holding the Harsco Environmental and Rail segments and Veolia acquiring 100% of Clean Earth. The aggregate consideration paid by Veolia to acquire Clean Earth was approximately $3.0 billion, subject to customary adjustments. Of such aggregate consideration, approximately $1.3 billion was paid directly to the stockholders of CE Holdings (the former stockholders of Enviri), with the remaining approximately $1.7 billion paid to Enviri LLC (as successor by merger to Enviri) pursuant to an intercompany note issued by CE Holdings to Enviri LLC in connection with the Reorganization, which amount was used primarily for the repayment of Enviri’s indebtedness, the termination of the AR Facility, the payment of transaction expenses and to retain cash to support Harsco Rail’s large European engineered-to-order rail contracts The Transactions are not expected to result in any material cash tax expense to Enviri LLC (as successor by merger to Enviri) or New Enviri. Prior to the completion of the Spin-Off, New Enviri did not engage in any business activities other than in connection with the transactions contemplated by the Separation Agreement and the Merger Agreement and had no material assets or liabilities of any kind.</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CE Holdings, which holds Clean Earth, and New Enviri entered into a Transition Services Agreement on June 1, 2026, pursuant to which New Enviri will provide certain services to CE Holdings on an interim, transitional basis. The services to be provided will include finance, legal, human resources, information technology, facilities and other general and administrative functions. The Transition Services Agreement specifies the fees payable for these services. The Transition Services Agreement will terminate on the expiration of the term of the last service provided under it, which will be up to twelve months following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Following the Spin-Off, we are subject to the reporting requirements of the Exchange Act. We are required to maintain policies, procedures and practices as a separate, public company necessary to comply with our obligations under the Exchange Act and related rules and regulations. As a result, we are incurring additional costs, including internal audit, investor relations, stock administration and regulatory compliance costs. These additional costs may differ from the costs that were historically allocated to us from Enviri. To operate as a separate public company, we will incur costs to replace certain services previously provided by Enviri, which costs may be higher than those reflected in our unaudited condensed combined financial statements.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New Enviri is a market-leading, global provider of critical environmental services and material processing to the metals industry, and innovative equipment, after-market parts and services for the rail sector. The Company was incorporated in 1956 and has locations in approximately 30 countries, including the U.S.</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New Enviri’s operations consist of two reportable segments: Harsco Environmental and Harsco Rail. Harsco Environmental operates primarily under long-term contracts, providing critical environmental services and material processing to the global steel and metals industries, including zero waste solutions for manufacturing byproducts within the metals industry. Rail is a provider of highly engineered maintenance equipment, after-market parts and safety and diagnostics systems and contracting solutions, which support railroad and transit customers worldwide.</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New Enviri’s business is subject to risks related to doing business internationally, including tariff policy or tariff regulation, as well as international political and trade tensions. In 2025, the U.S. government announced tariffs on goods imported into the U.S. from numerous countries and multiple nations countered with tariffs and other actions in response. Subsequently, the U.S. government has negotiated trade agreements with certain countries while negotiations with others are ongoing. Additionally, in early 2025, the EU announced plans to lower import quotas and implement anti-dumping duties against various countries that have imported certain steel products into the region. In October 2025, the European Commission formally proposed significant actions to protect its steel industry, including a sizable reduction in steel import quotas and a meaningful tariff increase on above-quota imports. These proposals require EU parliament and council approvals, which are anticipated in 2026. These efforts by the EU are intended to support a healthy industrial manufacturing base in the region. Also, the military conflict in the Middle East has led to volatile energy prices globally and higher costs for consumers. New Enviri continues to assess its ability to pass on higher energy prices to its customers and any impacts energy price volatility will have on demand, as well as the impact of these tariffs on its businesses.</w:t>
      </w:r>
    </w:p>
    <w:p>
      <w:pPr>
        <w:spacing w:after="0" w:line="2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February 23, 2026, Enviri amended the Senior Secured Credit Facilities to extend the maturity of its $50.0 million non-extended revolving credit facility from March 10, 2026 to the earlier of (i) July 1, 2026, and (ii) the closing date on which the Clean Earth segment is sold to Veolia in connection with the Merger Agreement. As described above, the sale of the Clean Earth segment was completed on June 1, 2026 and, as a result, the $50.0 million portion of the non-extended revolving credit facility was repaid on 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this Part I. Item 2. Results of Operations are rounded in millions and all percentages are calculated on actual amounts. As a result, minor differences may exist due to rounding.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3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256.7</w:t>
            </w:r>
          </w:p>
        </w:tc>
        <w:tc>
          <w:tcPr>
            <w:tcW w:w="40" w:type="dxa"/>
            <w:vAlign w:val="bottom"/>
          </w:tcPr>
          <w:p>
            <w:pPr>
              <w:spacing w:after="0"/>
              <w:rPr>
                <w:sz w:val="19"/>
                <w:szCs w:val="19"/>
                <w:color w:val="auto"/>
              </w:rPr>
            </w:pPr>
          </w:p>
        </w:tc>
        <w:tc>
          <w:tcPr>
            <w:tcW w:w="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0" w:type="dxa"/>
            <w:vAlign w:val="bottom"/>
          </w:tcPr>
          <w:p>
            <w:pPr>
              <w:spacing w:after="0"/>
              <w:rPr>
                <w:sz w:val="19"/>
                <w:szCs w:val="19"/>
                <w:color w:val="auto"/>
              </w:rPr>
            </w:pPr>
          </w:p>
        </w:tc>
        <w:tc>
          <w:tcPr>
            <w:tcW w:w="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Harsco Environmental</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Harsco Rail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Harsco Environmental Segment: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Effects on Revenues (in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23"/>
        </w:trPr>
        <w:tc>
          <w:tcPr>
            <w:tcW w:w="73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March 31, 2025</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impact of new and lost contracts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effects of price/volume changes, primarily attributable to volume changes and services mix</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 March 31, 2026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contributed to the changes in operating income (loss) during the three months ended March 31, 2026:</w:t>
      </w:r>
    </w:p>
    <w:p>
      <w:pPr>
        <w:spacing w:after="0" w:line="171" w:lineRule="exact"/>
        <w:rPr>
          <w:sz w:val="20"/>
          <w:szCs w:val="20"/>
          <w:color w:val="auto"/>
        </w:rPr>
      </w:pPr>
    </w:p>
    <w:p>
      <w:pPr>
        <w:ind w:left="660" w:right="6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included $3.3 million in employee termination benefit costs and other related costs pertaining to restructuring activities, which did not reoccur during the three months ended March 31, 2026.</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from environmental service contracts during the three months ended March 31, 2026, when compared with the three months ended March 31, 2025, decreased primarily due to an unfavorable service mix, partially offset by an increase in revenues from overall service levels.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revenues from a decrease in volumes from the Altek Group unfavorably impacted operating income by $1.0 million for the three months ended March 31, 2026, when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net effects from new and lost contracts resulted in a decrease in operating income of $0.9 million during the three months ended March 31, 2026, compared to the three months ended March 31, 2025.</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Harsco Rail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Effects on Revenue (in millions)</w:t>
            </w:r>
          </w:p>
        </w:tc>
        <w:tc>
          <w:tcPr>
            <w:tcW w:w="12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9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04"/>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32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effect of price/volume changes, primarily attributable to volume changes</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revenue adjustments as a result of certain estimated forward loss provisions (a)</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2"/>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42" w:lineRule="exact"/>
        <w:rPr>
          <w:sz w:val="20"/>
          <w:szCs w:val="20"/>
          <w:color w:val="auto"/>
        </w:rPr>
      </w:pPr>
    </w:p>
    <w:p>
      <w:pPr>
        <w:ind w:left="340" w:right="180" w:hanging="332"/>
        <w:spacing w:after="0" w:line="342" w:lineRule="auto"/>
        <w:tabs>
          <w:tab w:leader="none" w:pos="33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as a result of an amendment to the Deutsche Bahn contract in 2025, as referenced in Note 15, Revenues to New Enviri's unaudited condensed combined financial statements in Part I. Financial Statements.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contributed to the changes in operating income (loss) during the three months ended March 31, 2026:</w:t>
      </w:r>
    </w:p>
    <w:p>
      <w:pPr>
        <w:spacing w:after="0" w:line="171" w:lineRule="exact"/>
        <w:rPr>
          <w:sz w:val="20"/>
          <w:szCs w:val="20"/>
          <w:color w:val="auto"/>
        </w:rPr>
      </w:pPr>
    </w:p>
    <w:p>
      <w:pPr>
        <w:jc w:val="both"/>
        <w:ind w:left="660" w:right="240" w:hanging="328"/>
        <w:spacing w:after="0" w:line="266" w:lineRule="auto"/>
        <w:tabs>
          <w:tab w:leader="none" w:pos="65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$3.5 million in operating income due to higher revenues from railway contracting services during the three months ended March 31, 2026, when compared to the three months March 31, 2025, due principally to higher volume in the U.K., inclusive of an annual contractual true-up.</w:t>
      </w:r>
    </w:p>
    <w:p>
      <w:pPr>
        <w:spacing w:after="0" w:line="121" w:lineRule="exact"/>
        <w:rPr>
          <w:rFonts w:ascii="Times New Roman" w:cs="Times New Roman" w:eastAsia="Times New Roman" w:hAnsi="Times New Roman"/>
          <w:sz w:val="18"/>
          <w:szCs w:val="18"/>
          <w:b w:val="1"/>
          <w:bCs w:val="1"/>
          <w:color w:val="auto"/>
        </w:rPr>
      </w:pPr>
    </w:p>
    <w:p>
      <w:pPr>
        <w:ind w:left="660" w:right="2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included a favorable net change in forward estimated loss provisions and related adjustments of $10.4 million related to New Enviri's long-term contracts with Network Rail, Deutsche Bahn and SBB, which did not reoccur during the three months ended March 31, 2026. See Note 15, Revenues to New Enviri's unaudited condensed combined financial statements in Part I. Financial Statements for further discussion.</w:t>
      </w:r>
    </w:p>
    <w:p>
      <w:pPr>
        <w:spacing w:after="0" w:line="1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$2.6 million in operating income from lower standard equipment revenue and higher manufacturing costs for the three months ended March 31, 2026 from the three months ended March 31, 2025.</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 million in operating income from after-market parts due to higher manufacturing costs during the three months ended March 31, 2026 compared to the three months ended March 31, 2025, partially offset by an increase in sales from higher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General Corporate:</w:t>
      </w:r>
    </w:p>
    <w:p>
      <w:pPr>
        <w:spacing w:after="0" w:line="20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Operating income (loss) from continuing operations was negatively impacted by costs of $12.5 million related to the planned sale of Clean Earth during the three months ended March 31, 2026, which did not occur during the three months ended March 31, 2025.</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189"/>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360" w:type="dxa"/>
            <w:vAlign w:val="bottom"/>
          </w:tcPr>
          <w:p>
            <w:pPr>
              <w:spacing w:after="0"/>
              <w:rPr>
                <w:sz w:val="17"/>
                <w:szCs w:val="17"/>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services and products sold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8"/>
        </w:trPr>
        <w:tc>
          <w:tcPr>
            <w:tcW w:w="73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Operating income (loss) from continuing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Facility fees and debt-related income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Defined benefit pension income (expense)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1"/>
        </w:trPr>
        <w:tc>
          <w:tcPr>
            <w:tcW w:w="7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 and equity in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from continuing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entities, net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(47.0)</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1"/>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businesses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discontinued operations</w:t>
            </w:r>
          </w:p>
        </w:tc>
        <w:tc>
          <w:tcPr>
            <w:tcW w:w="3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32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Income (loss) from discontinued operations, net of tax</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8"/>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1"/>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 for continuing operations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(17.7)%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55" w:right="7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Comparative Analysis of Combined Results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March 31, 2026 increased by $11.0 million, or 4%, from the three months ended March 31, 2025. Foreign currency translation increased revenues by $16.6 million during the three months ended March 31, 2026, compared with the same period in the prior year. Refer to the discussion of segment results above for information pertaining to factors positively affecting and negatively impacting revenues.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Services and Products Sold</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services and products sold for the three months ended March 31, 2026 increased by $24.3 million, or 10%, from the three months ended March 31, 2025. The changes in cost of services and products sold were attributable to the following significant items: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products sold - 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costs due to changes in revenue volume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due to costs and revenue mix</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services and products sold -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r>
      <w:tr>
        <w:trPr>
          <w:trHeight w:val="21"/>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SG&amp;A for the three months ended March 31, 2026 increased by $1.4 million, or 3%, from the three months ended March 31, 2025, which was primarily driven by higher costs of $1.1 million related to compensation expense, mainly in HE and Rail for the three months ended March 31, 2026. Foreign currency also negatively impacted SG&amp;A by $1.8 million during the three months ended March 31, 2026 from the same period in 2025. A decrease in professional fees of $0.7 million partially offset these SG&amp;A increases during the three months ended March 31, 2026, when compared to the three months ended March 31, 2025, primarily as a result of costs incurred during 2025 to support and execute certain of New Enviri's long-term strategies.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Expenses,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major components of this Condensed Combined Statements of Operations caption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 costs</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costs for exit activities (a)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asset write-downs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sale of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 Includes costs related to the planned sale of Clean Earth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during the three months ended March 31, 2026 increased by $1.2 million, compared with the three months ended March 31, 2025. This increase is mainly driven by higher average borrowings under the Senior Secured Credit Facilities during the three months ended March 31, 2026, when compared to the three months ended March 31, 2025.</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Facility Fees and Debt-Related Income (Expense)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New Enviri recognized facility fee expense mostly related to the AR Facility of $2.3 million during the three months ended March 31, 2026, compared to $2.6 million recognized during the three months ended March 31, 2025. See Note 4, Trade Accounts Receivables and Other Receivables and Note 9, Debt and Credit Agreements to, in each case, New Enviri's unaudited condensed combined financial statements in Part I.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Defined Benefit Pension Income (Expense)</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Defined benefit pension expense was $3.9 million and $5.2 million for the three months ended March 31, 2026 and 2025, respectively. This expense decrease is primarily related to a higher expected rate of return on plan assets in the current year, compared to 2025.</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from continuing operations for the three months ended March 31, 2026 and 2025 was $5.4 million and $3.3 million, respectively. Income tax expense during the three months ended March 31, 2026 increased compared to income tax expense for the three months ended March 31, 2025 primarily due to change in mix of income.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Loss from continuing operations was $47.0 million for the three months ended March 31, 2026 and $22.2 million for the three months ended March 31, 2025. The primary drivers for these changes are noted above.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Total other comprehensive income was $6.8 million for the three months ended March 31, 2026, compared to total other comprehensive income of $5.6 million for the three months ended March 31, 2025. The primary driver of this change was the change in valuation of Enviri's interest rate swaps during the three months ended March 31, 2026, when compared to the valuation during the three months ended March 31, 2025, due to the fluctuation of interest rates. This was partially offset by the fluctuation of the U.S. dollar against certain currencies during the three months ended March 31, 2026, inclusive of the impact of foreign currency translation of cumulative unrecognized actuarial losses on New Enviri's pension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5"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this "Liquidity and Capital Resources" section are rounded in millions and all percentages are calculated based on actual amounts. As a result, minor differences may exist due to rounding.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New Enviri currently expects to have sufficient financial liquidity and borrowing capacity to support the strategies within each of its businesses and its current operating and debt service needs. New Enviri currently expects operational and business needs, in addition to the repayment of its current debt maturities, to be met by cash provided by operations, supplemented with borrowings from time to time, principally under the Senior Secured Credit Facilities. New Enviri expects the Senior Secured Credit Facilities to be fully available based on continued compliance with the related covenants based on its current outlook. New Enviri supplements the cash provided by operations with borrowings due to the operational performance of its businesses, historical patterns of seasonal cash flow and the funding of various projects. New Enviri regularly assesses capital needs in the context of operational trends and strategic initiatives.</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flows from operating, investing and financing activities, as reflected on the Condensed Combined Statements of Cash Flows, are summarized in the following table:</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(used) by:</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including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change in cash and cash equivalents, including restricted cash</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cash (used) provided by operating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by operating activities for the three months ended March 31, 2026 was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million, a decrease in cash outflows of $7.3 million from the three months ended March 31, 2025, primarily as a result of a decrease in cash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partially offset by a net favorable change in working capital. The net favorable changes in working capital during the three months ended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2026 were related to the timing of receipts and recognition of advances on contracts, mainly related to Rail’s contracts, the timing of inventories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payments of accrued compensation, partially offset by unfavorable changes related to the changes in contract assets, principally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recognition for Rail’s contracts, during the three months ended March 31, 2026.</w:t>
      </w:r>
    </w:p>
    <w:p>
      <w:pPr>
        <w:spacing w:after="0" w:line="14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i w:val="1"/>
          <w:iCs w:val="1"/>
          <w:color w:val="auto"/>
        </w:rPr>
        <w:t xml:space="preserve">Net cash (used ) provided by investing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by investing activities during the three months ended March 31, 2026 was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$16.2 million, an increase in net cash used of $4.4 million from net cash used during the three months ended March 31, 2025, primarily due to a $4.3 million increase in purchases for capital expenditures during the three months ended March 31, 2026, when compared to the three months ended March 31, 2025, primarily by HE.</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(used) provided by financing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financing activities during the three months ended March 31, 2026 was $28.6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 decrease of $18.1 million from the three months ended March 31, 2025 mostly attributable to net transfers from Parent of $12.4 million primarily related to an increase in net loss, and a decrease in related party notes of $3.1 million during the three months ended March 31, 2026, when compared to the three months ended March 31, 2025, due to changes in the CE receivables transferred to the SPE as part of the AR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0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New Enviri’s principal sources of liquidity are cash provided by operations and borrowings under the Senior Secured Credit Facilities, augmented by cash proceeds from asset sales. New Enviri expects to continue to utilize the Revolving Credit Facility to meet future cash requirements for operations and growth initiatives. As of June 1, 2026, $152.0 million was available for borrowing under the Revolving Credit Facility.</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Senior Secured Credit Facilities and Notes: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type: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5.75% Senior Notes</w:t>
            </w: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475.0</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1,508.3</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By classification:</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1,503.3</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1,508.3</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20" w:type="dxa"/>
            <w:vAlign w:val="bottom"/>
          </w:tcPr>
          <w:p>
            <w:pPr>
              <w:spacing w:after="0"/>
              <w:rPr>
                <w:sz w:val="11"/>
                <w:szCs w:val="11"/>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 Balance</w:t>
            </w:r>
          </w:p>
        </w:tc>
        <w:tc>
          <w:tcPr>
            <w:tcW w:w="40" w:type="dxa"/>
            <w:vAlign w:val="bottom"/>
          </w:tcPr>
          <w:p>
            <w:pPr>
              <w:spacing w:after="0"/>
              <w:rPr>
                <w:sz w:val="11"/>
                <w:szCs w:val="11"/>
                <w:color w:val="auto"/>
              </w:rPr>
            </w:pPr>
          </w:p>
        </w:tc>
        <w:tc>
          <w:tcPr>
            <w:tcW w:w="1620" w:type="dxa"/>
            <w:vAlign w:val="bottom"/>
            <w:gridSpan w:val="4"/>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 Letters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Available Credit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8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9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332"/>
        <w:spacing w:after="0" w:line="258" w:lineRule="auto"/>
        <w:tabs>
          <w:tab w:leader="none" w:pos="5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 million and $625.0 million of revolving credit commitments scheduled to mature on the earlier of (i) July 1, 2026 and (ii) the closing date on which the Clean Earth segment is sold in connection with the Merger Agreement, as amended in February 2026, and September 5, 2029, respectively. On June 1, 2026, the full balance that was outstanding on the Revolving Credit Facility was repaid in connection with the Transactions, and is included within the $1.1 billion of existing debt that was repaid as noted below. Refer to Note 9, Debt and Credit Agreements to New Enviri's unaudited condensed combined financial statements in Part I. Financial Statements for more information related to the Senior Secured Credit Facilities.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8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contains a total net leverage ratio covenant, which is not to exceed 5.50x at March 31, 2026, and a minimum consolidated adjusted EBITDA to consolidated interest charges ratio covenant, which is not to be less than 2.50x.</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$1.1 billion of Enviri's debt balance as of March 31, 2026 was repaid as part of the Transactions resulting in a capitalized New Enviri that we expect will maintain compliance with all covenants over the next twelve months following the Transactions based on its current outlook. However, New Enviri’s estimates of compliance with these amended covenants could change in the future with a deterioration in economic conditions, including softness in certain markets, changes in tariffs, higher than forecasted interest rate increases, the timing of working capital, including the collection of accounts receivables, an inability to successfully realize increased pricing and implement cost reduction initiatives that mitigate the impacts of inflation and other factors may adversely impact its realized operating margins and cash flows.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 Facility</w:t>
      </w:r>
    </w:p>
    <w:p>
      <w:pPr>
        <w:spacing w:after="0" w:line="20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Prior to the completion of the Transactions, Enviri maintained a revolving trade receivables securitization facility to accelerate cash flows from trade accounts receivable, which was scheduled to mature in October 2027. Under the AR Facility, Enviri and its designated subsidiaries continuously sold their trade receivables as they were originated to the wholly-owned bankruptcy-remote SPE. The SPE transferred ownership and control of qualifying receivables to PNC up to a maximum purchase commitment of $160.0 million. The AR Facility was terminated in connection with the completion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 proceeds were received from the AR Facility during the three months ended March 31, 2026. During the three months ended March 31, 2025, Enviri received $10.0 million in proceeds from the AR Facility.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Management</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New Enviri has various cash management systems throughout the world that centralize cash in various bank accounts where it is economically justifiable and legally permissible to do so. These centralized cash balances are then redeployed to other operations to reduce short-term borrowings and to finance working capital needs or capital expenditures. Due to the transitory nature of cash balances, they are normally invested in bank deposits that can be withdrawn at will or in very liquid short-term bank time deposits and government obligations. New Enviri's policy is to use the largest banks in the various countries in which New Enviri operates. New Enviri monitors the creditworthiness of banks and, when appropriate, will adjust banking operations to reduce or eliminate exposure to less creditworthy banks.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March 31, 2026, New Enviri's combined cash and cash equivalents included $104.2 million held by non-U.S. subsidiaries and approximately 11.1% of the New Enviri's combined cash and cash equivalents had regulatory restrictions that would preclude the transfer of funds with and among subsidiaries. Non-U.S. subsidiaries also held $41.5 million of cash and cash equivalents in combined strategic ventures. The strategic venture agreements may require strategic venture partner approval to transfer funds with and among subsidiaries. While the New Enviri's remaining non-U.S. cash and cash equivalents can be transferred with and among subsidiaries, the majority of these non-U.S. cash balances will be used to support the ongoing working capital needs and continued growth of New Enviri's non-U.S. operations.</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in connection with New Enviri’s contracts with certain customers, New Enviri's contingent commercial commitments were updated, in which the terms of the updated agreements with the issuing bank required cash collateral totaling $20.7 million to be held until the contingent commercial commitments are released. New Enviri funded this balance in 2025 and was classified as Restricted Cash on New Enviri’s Combined Balance Sheets at December 31, 2025. During the three months ended March 31, 2026, $6.2 million of this cash collateral was released back to New Enviri.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Information on recently adopted and recently issued accounting standards is included in Note 3, Recently Adopted and Recently Issued Accounting Standards, to New Enviri's unaudited condensed combined financial statements in Part I.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55" w:right="6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risks have not changed significantly from those disclosed in the Information Statement.</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evaluation was performed by the Company’s management, with the participation of the Company's Chief Executive Officer and Chief Financial Officer, of the effectiveness of the Company’s disclosure controls and procedures as of March 31, 2026 pursuant to Rule 13a – 15 under the Exchange Act of 1934. Based upon that evaluation, such officers concluded that the Company's disclosure controls and procedures are effective to ensure that information required to be disclosed by the Company in the reports it files or submits under the Exchange Act (1) is recorded, processed, summarized, and reported within the time periods specified in the SEC's rules and forms and (2) is accumulated and communicated to the Company's management, including the Chief Executive Officer and Chief Financial Officer, as appropriate, to allow for timely decisions regarding required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Information on legal proceedings is included in Note 12, Commitments and Contingencies to New Enviri's unaudited condensed combined financial statements in Part I, Item 1, Financial Statements.</w:t>
      </w:r>
    </w:p>
    <w:p>
      <w:pPr>
        <w:spacing w:after="0" w:line="34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risk factors as of March 31, 2026 have not changed materially from those described under the heading, "Risk Factors" in the Information Statement.</w:t>
      </w:r>
    </w:p>
    <w:p>
      <w:pPr>
        <w:spacing w:after="0" w:line="104" w:lineRule="exact"/>
        <w:rPr>
          <w:sz w:val="20"/>
          <w:szCs w:val="20"/>
          <w:color w:val="auto"/>
        </w:rPr>
      </w:pPr>
    </w:p>
    <w:p>
      <w:pPr>
        <w:ind w:right="3800"/>
        <w:spacing w:after="0" w:line="47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under the Exchange Act) of the Company adopted, modified or terminated a Rule 10b5-1 trading arrangement or non-Rule 10b5-1 trading arrangement for the purchase or sale of securities of the Company, within the meaning of Item 408 of Regulation S-K.</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55"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as part of this report or incorporated herein by reference: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100" w:type="dxa"/>
            <w:vAlign w:val="bottom"/>
            <w:gridSpan w:val="2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100" w:type="dxa"/>
            <w:vAlign w:val="bottom"/>
            <w:gridSpan w:val="2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980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Amendment of the Certificate of Incorporation of Enviri II Corporation, dated as of May 29, 2026 (incorporated by</w:t>
              </w:r>
            </w:hyperlink>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930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to Exhibit 3.1 to New Enviri’s Current Report on Form 8-K filed on June 1, 2026, SEC File Number 001-43207)</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9800" w:type="dxa"/>
            <w:vAlign w:val="bottom"/>
            <w:gridSpan w:val="31"/>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Certificate of Incorporation of Enviri II Corporation (incorporated by reference to Exhibit 3.2 to New Enviri’s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Current Report on Form 8-K filed on June 1, 2026, SEC File Number 001-43207).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3.3</w:t>
            </w:r>
          </w:p>
        </w:tc>
        <w:tc>
          <w:tcPr>
            <w:tcW w:w="980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Bylaws of Enviri II Corporation (incorporated by reference to Exhibit 3.3 to New Enviri’s Current Report on</w:t>
              </w:r>
            </w:hyperlink>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shd w:val="clear" w:color="auto" w:fill="CCEEFF"/>
          </w:tcPr>
          <w:p>
            <w:pPr>
              <w:spacing w:after="0"/>
              <w:rPr>
                <w:sz w:val="11"/>
                <w:szCs w:val="11"/>
                <w:color w:val="auto"/>
              </w:rPr>
            </w:pPr>
          </w:p>
        </w:tc>
        <w:tc>
          <w:tcPr>
            <w:tcW w:w="8220" w:type="dxa"/>
            <w:vAlign w:val="bottom"/>
            <w:tcBorders>
              <w:top w:val="single" w:sz="8" w:color="0000FF"/>
            </w:tcBorders>
            <w:gridSpan w:val="16"/>
            <w:shd w:val="clear" w:color="auto" w:fill="CCEEFF"/>
          </w:tcPr>
          <w:p>
            <w:pPr>
              <w:spacing w:after="0" w:line="136" w:lineRule="exact"/>
              <w:rPr>
                <w:rFonts w:ascii="Times New Roman" w:cs="Times New Roman" w:eastAsia="Times New Roman" w:hAnsi="Times New Roman"/>
                <w:sz w:val="15"/>
                <w:szCs w:val="15"/>
                <w:color w:val="0000FF"/>
              </w:rPr>
            </w:pPr>
            <w:hyperlink r:id="rId127">
              <w:r>
                <w:rPr>
                  <w:rFonts w:ascii="Times New Roman" w:cs="Times New Roman" w:eastAsia="Times New Roman" w:hAnsi="Times New Roman"/>
                  <w:sz w:val="15"/>
                  <w:szCs w:val="15"/>
                  <w:color w:val="0000FF"/>
                </w:rPr>
                <w:t>Form 8-K filed on June 1, 2026, SEC File Number 001-43207)</w:t>
              </w:r>
              <w:r>
                <w:rPr>
                  <w:rFonts w:ascii="Times New Roman" w:cs="Times New Roman" w:eastAsia="Times New Roman" w:hAnsi="Times New Roman"/>
                  <w:sz w:val="15"/>
                  <w:szCs w:val="15"/>
                  <w:color w:val="000000"/>
                </w:rPr>
                <w:t>.</w:t>
              </w:r>
            </w:hyperlink>
          </w:p>
        </w:tc>
        <w:tc>
          <w:tcPr>
            <w:tcW w:w="6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3.4</w:t>
            </w:r>
          </w:p>
        </w:tc>
        <w:tc>
          <w:tcPr>
            <w:tcW w:w="9800" w:type="dxa"/>
            <w:vAlign w:val="bottom"/>
            <w:gridSpan w:val="31"/>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Amendment of the Certificate of Incorporation of Enviri II Corporation, dated as of June 1, 2026 (incorporated by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reference to Exhibit 3.4 to New Enviri’s Current Report on Form 8-K filed on June 1, 2026, SEC File Number 001-43207).</w:t>
              </w:r>
            </w:hyperlink>
          </w:p>
        </w:tc>
        <w:tc>
          <w:tcPr>
            <w:tcW w:w="1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10.1</w:t>
            </w:r>
          </w:p>
        </w:tc>
        <w:tc>
          <w:tcPr>
            <w:tcW w:w="9660" w:type="dxa"/>
            <w:vAlign w:val="bottom"/>
            <w:tcBorders>
              <w:bottom w:val="single" w:sz="8" w:color="0000FF"/>
            </w:tcBorders>
            <w:gridSpan w:val="29"/>
            <w:shd w:val="clear" w:color="auto" w:fill="CCEEFF"/>
          </w:tcPr>
          <w:p>
            <w:pPr>
              <w:spacing w:after="0" w:line="18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Transition Services Agreement, dated as of June 1, 2026, between CLEH, Inc. and Enviri II Corporation (incorporated by reference to</w:t>
              </w:r>
            </w:hyperlink>
          </w:p>
        </w:tc>
        <w:tc>
          <w:tcPr>
            <w:tcW w:w="14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9800" w:type="dxa"/>
            <w:vAlign w:val="bottom"/>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10.1 to New Enviri’s Current Report on Form 8-K filed on June 1, 2026, SEC File Number 001-43207).</w:t>
              </w:r>
            </w:hyperlink>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10.2</w:t>
            </w:r>
          </w:p>
        </w:tc>
        <w:tc>
          <w:tcPr>
            <w:tcW w:w="9800" w:type="dxa"/>
            <w:vAlign w:val="bottom"/>
            <w:gridSpan w:val="31"/>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Joinder Agreement, dated as of June 1, 2026, between Enviri II Corporation and Bank of America, N.A., as administrative agent and</w:t>
              </w:r>
            </w:hyperlink>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5"/>
                <w:szCs w:val="15"/>
                <w:color w:val="0000FF"/>
              </w:rPr>
            </w:pPr>
            <w:hyperlink r:id="rId130">
              <w:r>
                <w:rPr>
                  <w:rFonts w:ascii="Times New Roman" w:cs="Times New Roman" w:eastAsia="Times New Roman" w:hAnsi="Times New Roman"/>
                  <w:sz w:val="15"/>
                  <w:szCs w:val="15"/>
                  <w:color w:val="0000FF"/>
                </w:rPr>
                <w:t>collateral agent (incorporated by reference to</w:t>
              </w:r>
            </w:hyperlink>
          </w:p>
        </w:tc>
        <w:tc>
          <w:tcPr>
            <w:tcW w:w="20" w:type="dxa"/>
            <w:vAlign w:val="bottom"/>
            <w:tcBorders>
              <w:bottom w:val="single" w:sz="8" w:color="0000FF"/>
            </w:tcBorders>
          </w:tcPr>
          <w:p>
            <w:pPr>
              <w:spacing w:after="0"/>
              <w:rPr>
                <w:sz w:val="11"/>
                <w:szCs w:val="11"/>
                <w:color w:val="auto"/>
              </w:rPr>
            </w:pPr>
          </w:p>
        </w:tc>
        <w:tc>
          <w:tcPr>
            <w:tcW w:w="6240" w:type="dxa"/>
            <w:vAlign w:val="bottom"/>
            <w:tcBorders>
              <w:top w:val="single" w:sz="8" w:color="0000FF"/>
              <w:bottom w:val="single" w:sz="8" w:color="0000FF"/>
            </w:tcBorders>
            <w:gridSpan w:val="17"/>
          </w:tcPr>
          <w:p>
            <w:pPr>
              <w:spacing w:after="0" w:line="136" w:lineRule="exact"/>
              <w:rPr>
                <w:rFonts w:ascii="Times New Roman" w:cs="Times New Roman" w:eastAsia="Times New Roman" w:hAnsi="Times New Roman"/>
                <w:sz w:val="15"/>
                <w:szCs w:val="15"/>
                <w:color w:val="0000FF"/>
              </w:rPr>
            </w:pPr>
            <w:hyperlink r:id="rId130">
              <w:r>
                <w:rPr>
                  <w:rFonts w:ascii="Times New Roman" w:cs="Times New Roman" w:eastAsia="Times New Roman" w:hAnsi="Times New Roman"/>
                  <w:sz w:val="15"/>
                  <w:szCs w:val="15"/>
                  <w:color w:val="0000FF"/>
                </w:rPr>
                <w:t>Exhibit 10.2 to New Enviri’s Current Report on Form 8-K filed on June 1, 2026, SEC</w:t>
              </w:r>
            </w:hyperlink>
          </w:p>
        </w:tc>
        <w:tc>
          <w:tcPr>
            <w:tcW w:w="240" w:type="dxa"/>
            <w:vAlign w:val="bottom"/>
            <w:tcBorders>
              <w:bottom w:val="single" w:sz="8" w:color="0000FF"/>
            </w:tcBorders>
            <w:gridSpan w:val="6"/>
          </w:tcPr>
          <w:p>
            <w:pPr>
              <w:spacing w:after="0" w:line="136" w:lineRule="exact"/>
              <w:rPr>
                <w:rFonts w:ascii="Times New Roman" w:cs="Times New Roman" w:eastAsia="Times New Roman" w:hAnsi="Times New Roman"/>
                <w:sz w:val="15"/>
                <w:szCs w:val="15"/>
                <w:color w:val="0000FF"/>
                <w:w w:val="94"/>
              </w:rPr>
            </w:pPr>
            <w:hyperlink r:id="rId130">
              <w:r>
                <w:rPr>
                  <w:rFonts w:ascii="Times New Roman" w:cs="Times New Roman" w:eastAsia="Times New Roman" w:hAnsi="Times New Roman"/>
                  <w:sz w:val="15"/>
                  <w:szCs w:val="15"/>
                  <w:color w:val="0000FF"/>
                  <w:w w:val="94"/>
                </w:rPr>
                <w:t>File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9800" w:type="dxa"/>
            <w:vAlign w:val="bottom"/>
            <w:gridSpan w:val="31"/>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Number 001-43207)</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10.3</w:t>
            </w:r>
          </w:p>
        </w:tc>
        <w:tc>
          <w:tcPr>
            <w:tcW w:w="980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17 to Third Amended and Restated Credit Agreement, dated as of February 23, 2026, among Enviri Corporation, the</w:t>
              </w:r>
            </w:hyperlink>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tcBorders>
              <w:top w:val="single" w:sz="8" w:color="CCEEFF"/>
            </w:tcBorders>
            <w:shd w:val="clear" w:color="auto" w:fill="CCEEFF"/>
          </w:tcPr>
          <w:p>
            <w:pPr>
              <w:spacing w:after="0"/>
              <w:rPr>
                <w:sz w:val="12"/>
                <w:szCs w:val="12"/>
                <w:color w:val="auto"/>
              </w:rPr>
            </w:pPr>
          </w:p>
        </w:tc>
        <w:tc>
          <w:tcPr>
            <w:tcW w:w="6480" w:type="dxa"/>
            <w:vAlign w:val="bottom"/>
            <w:tcBorders>
              <w:top w:val="single" w:sz="8" w:color="0000FF"/>
            </w:tcBorders>
            <w:gridSpan w:val="12"/>
            <w:shd w:val="clear" w:color="auto" w:fill="CCEEFF"/>
          </w:tcPr>
          <w:p>
            <w:pPr>
              <w:spacing w:after="0" w:line="149"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reference to Exhibit 10.20 to New Enviri’s Registration Statement on Form 10, SEC File</w:t>
              </w:r>
            </w:hyperlink>
          </w:p>
        </w:tc>
        <w:tc>
          <w:tcPr>
            <w:tcW w:w="20" w:type="dxa"/>
            <w:vAlign w:val="bottom"/>
            <w:tcBorders>
              <w:top w:val="single" w:sz="8" w:color="CCEEFF"/>
            </w:tcBorders>
            <w:shd w:val="clear" w:color="auto" w:fill="CCEEFF"/>
          </w:tcPr>
          <w:p>
            <w:pPr>
              <w:spacing w:after="0"/>
              <w:rPr>
                <w:sz w:val="12"/>
                <w:szCs w:val="12"/>
                <w:color w:val="auto"/>
              </w:rPr>
            </w:pPr>
          </w:p>
        </w:tc>
        <w:tc>
          <w:tcPr>
            <w:tcW w:w="2960" w:type="dxa"/>
            <w:vAlign w:val="bottom"/>
            <w:tcBorders>
              <w:top w:val="single" w:sz="8" w:color="0000FF"/>
            </w:tcBorders>
            <w:gridSpan w:val="10"/>
            <w:shd w:val="clear" w:color="auto" w:fill="CCEEFF"/>
          </w:tcPr>
          <w:p>
            <w:pPr>
              <w:spacing w:after="0" w:line="149"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Number 001-03970), filed on March 20,</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4"/>
              </w:rPr>
            </w:pPr>
            <w:hyperlink r:id="rId131">
              <w:r>
                <w:rPr>
                  <w:rFonts w:ascii="Times New Roman" w:cs="Times New Roman" w:eastAsia="Times New Roman" w:hAnsi="Times New Roman"/>
                  <w:sz w:val="18"/>
                  <w:szCs w:val="18"/>
                  <w:color w:val="0000FF"/>
                  <w:w w:val="94"/>
                </w:rPr>
                <w:t>2026).</w:t>
              </w:r>
            </w:hyperlink>
          </w:p>
        </w:tc>
        <w:tc>
          <w:tcPr>
            <w:tcW w:w="86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144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00" w:type="dxa"/>
            <w:vAlign w:val="bottom"/>
            <w:tcBorders>
              <w:top w:val="single" w:sz="8" w:color="0000FF"/>
              <w:bottom w:val="single" w:sz="8" w:color="CCEEFF"/>
            </w:tcBorders>
            <w:shd w:val="clear" w:color="auto" w:fill="CCEEFF"/>
          </w:tcPr>
          <w:p>
            <w:pPr>
              <w:spacing w:after="0"/>
              <w:rPr>
                <w:sz w:val="15"/>
                <w:szCs w:val="15"/>
                <w:color w:val="auto"/>
              </w:rPr>
            </w:pPr>
          </w:p>
        </w:tc>
        <w:tc>
          <w:tcPr>
            <w:tcW w:w="84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1080" w:type="dxa"/>
            <w:vAlign w:val="bottom"/>
            <w:tcBorders>
              <w:top w:val="single" w:sz="8" w:color="0000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5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CCEEFF"/>
            </w:tcBorders>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10.4</w:t>
            </w:r>
          </w:p>
        </w:tc>
        <w:tc>
          <w:tcPr>
            <w:tcW w:w="9800" w:type="dxa"/>
            <w:vAlign w:val="bottom"/>
            <w:tcBorders>
              <w:top w:val="single" w:sz="8" w:color="CCEEFF"/>
            </w:tcBorders>
            <w:gridSpan w:val="31"/>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Indemnification Agreement (incorporated by reference to Exhibit 10.3 to New Enviri’s Current Report on Form 8-K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June 1, 2026, SEC File Number 001-43207).</w:t>
              </w:r>
              <w:r>
                <w:rPr>
                  <w:rFonts w:ascii="Times New Roman" w:cs="Times New Roman" w:eastAsia="Times New Roman" w:hAnsi="Times New Roman"/>
                  <w:sz w:val="18"/>
                  <w:szCs w:val="18"/>
                  <w:color w:val="000000"/>
                </w:rPr>
                <w:t>†</w:t>
              </w:r>
            </w:hyperlink>
          </w:p>
        </w:tc>
        <w:tc>
          <w:tcPr>
            <w:tcW w:w="8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10.5</w:t>
            </w:r>
          </w:p>
        </w:tc>
        <w:tc>
          <w:tcPr>
            <w:tcW w:w="980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Enviri II Corporation 2026 Omnibus Incentive Plan (incorporated by reference to Exhibit 10.1 to New Enviri’s Registration Statement</w:t>
              </w:r>
            </w:hyperlink>
          </w:p>
        </w:tc>
        <w:tc>
          <w:tcPr>
            <w:tcW w:w="0" w:type="dxa"/>
            <w:vAlign w:val="bottom"/>
          </w:tcPr>
          <w:p>
            <w:pPr>
              <w:spacing w:after="0"/>
              <w:rPr>
                <w:sz w:val="1"/>
                <w:szCs w:val="1"/>
                <w:color w:val="auto"/>
              </w:rPr>
            </w:pPr>
          </w:p>
        </w:tc>
      </w:tr>
      <w:tr>
        <w:trPr>
          <w:trHeight w:val="135"/>
        </w:trPr>
        <w:tc>
          <w:tcPr>
            <w:tcW w:w="1220" w:type="dxa"/>
            <w:vAlign w:val="bottom"/>
            <w:tcBorders>
              <w:top w:val="single" w:sz="8" w:color="CCEEFF"/>
            </w:tcBorders>
            <w:shd w:val="clear" w:color="auto" w:fill="CCEEFF"/>
          </w:tcPr>
          <w:p>
            <w:pPr>
              <w:spacing w:after="0"/>
              <w:rPr>
                <w:sz w:val="11"/>
                <w:szCs w:val="11"/>
                <w:color w:val="auto"/>
              </w:rPr>
            </w:pPr>
          </w:p>
        </w:tc>
        <w:tc>
          <w:tcPr>
            <w:tcW w:w="8020" w:type="dxa"/>
            <w:vAlign w:val="bottom"/>
            <w:tcBorders>
              <w:top w:val="single" w:sz="8" w:color="0000FF"/>
            </w:tcBorders>
            <w:gridSpan w:val="14"/>
            <w:shd w:val="clear" w:color="auto" w:fill="CCEEFF"/>
          </w:tcPr>
          <w:p>
            <w:pPr>
              <w:spacing w:after="0" w:line="136" w:lineRule="exact"/>
              <w:rPr>
                <w:rFonts w:ascii="Times New Roman" w:cs="Times New Roman" w:eastAsia="Times New Roman" w:hAnsi="Times New Roman"/>
                <w:sz w:val="15"/>
                <w:szCs w:val="15"/>
                <w:color w:val="0000FF"/>
              </w:rPr>
            </w:pPr>
            <w:hyperlink r:id="rId133">
              <w:r>
                <w:rPr>
                  <w:rFonts w:ascii="Times New Roman" w:cs="Times New Roman" w:eastAsia="Times New Roman" w:hAnsi="Times New Roman"/>
                  <w:sz w:val="15"/>
                  <w:szCs w:val="15"/>
                  <w:color w:val="0000FF"/>
                </w:rPr>
                <w:t>on Form S-8 filed on June 2, 2026, SEC File Number 333-296406).</w:t>
              </w:r>
              <w:r>
                <w:rPr>
                  <w:rFonts w:ascii="Times New Roman" w:cs="Times New Roman" w:eastAsia="Times New Roman" w:hAnsi="Times New Roman"/>
                  <w:sz w:val="15"/>
                  <w:szCs w:val="15"/>
                  <w:color w:val="000000"/>
                </w:rPr>
                <w:t>†</w:t>
              </w:r>
            </w:hyperlink>
          </w:p>
        </w:tc>
        <w:tc>
          <w:tcPr>
            <w:tcW w:w="2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6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31.1</w:t>
            </w:r>
          </w:p>
        </w:tc>
        <w:tc>
          <w:tcPr>
            <w:tcW w:w="98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Rule 13a-14(a) or 15d-14(a), as Adopted Pursuant to Section 302 of the Sarbanes-Oxley Act of 2002</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(President and Chief Executive Officer).</w:t>
            </w:r>
            <w:r>
              <w:rPr>
                <w:rFonts w:ascii="Times New Roman" w:cs="Times New Roman" w:eastAsia="Times New Roman" w:hAnsi="Times New Roman"/>
                <w:sz w:val="18"/>
                <w:szCs w:val="18"/>
                <w:color w:val="000000"/>
              </w:rPr>
              <w:t>*</w:t>
            </w:r>
          </w:p>
        </w:tc>
        <w:tc>
          <w:tcPr>
            <w:tcW w:w="500" w:type="dxa"/>
            <w:vAlign w:val="bottom"/>
            <w:gridSpan w:val="6"/>
          </w:tcPr>
          <w:p>
            <w:pPr>
              <w:spacing w:after="0"/>
              <w:rPr>
                <w:sz w:val="13"/>
                <w:szCs w:val="13"/>
                <w:color w:val="auto"/>
              </w:rPr>
            </w:pPr>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5"/>
              </w:rPr>
              <w:t>31.2</w:t>
            </w:r>
          </w:p>
        </w:tc>
        <w:tc>
          <w:tcPr>
            <w:tcW w:w="98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Rule 13a-14(a) or 15d-14(a), as Adopted Pursuant to Section 302 of the Sarbanes-Oxley Act of 2002 (Chief</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2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r>
              <w:rPr>
                <w:rFonts w:ascii="Times New Roman" w:cs="Times New Roman" w:eastAsia="Times New Roman" w:hAnsi="Times New Roman"/>
                <w:sz w:val="18"/>
                <w:szCs w:val="18"/>
                <w:color w:val="000000"/>
              </w:rPr>
              <w:t>*</w:t>
            </w:r>
          </w:p>
        </w:tc>
        <w:tc>
          <w:tcPr>
            <w:tcW w:w="240" w:type="dxa"/>
            <w:vAlign w:val="bottom"/>
            <w:tcBorders>
              <w:top w:val="single" w:sz="8" w:color="CCEEFF"/>
            </w:tcBorders>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220" w:right="220" w:hanging="762"/>
        <w:spacing w:after="0" w:line="234"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Pursuant to 18 U.S.C. Section 1350, as Adopted Pursuant to Section 906 of the Sarbanes-Oxley Act of 2002 (President and Chief Executive Officer and Chief Financial Officer).</w:t>
      </w:r>
      <w:r>
        <w:rPr>
          <w:rFonts w:ascii="Times New Roman" w:cs="Times New Roman" w:eastAsia="Times New Roman" w:hAnsi="Times New Roman"/>
          <w:sz w:val="18"/>
          <w:szCs w:val="18"/>
          <w:color w:val="000000"/>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0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29"/>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175"/>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 within</w:t>
            </w:r>
          </w:p>
        </w:tc>
      </w:tr>
      <w:tr>
        <w:trPr>
          <w:trHeight w:val="234"/>
        </w:trPr>
        <w:tc>
          <w:tcPr>
            <w:tcW w:w="102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Inline XBRL document.</w:t>
            </w:r>
          </w:p>
        </w:tc>
      </w:tr>
    </w:tbl>
    <w:p>
      <w:pPr>
        <w:spacing w:after="0" w:line="4" w:lineRule="exact"/>
        <w:rPr>
          <w:sz w:val="20"/>
          <w:szCs w:val="20"/>
          <w:color w:val="auto"/>
        </w:rPr>
      </w:pPr>
    </w:p>
    <w:p>
      <w:pPr>
        <w:ind w:left="1220" w:hanging="807"/>
        <w:spacing w:after="0"/>
        <w:tabs>
          <w:tab w:leader="none" w:pos="12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7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699516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55" w:right="5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ENVIRI CORPORATION</w:t>
            </w:r>
          </w:p>
        </w:tc>
      </w:tr>
      <w:tr>
        <w:trPr>
          <w:trHeight w:val="228"/>
        </w:trPr>
        <w:tc>
          <w:tcPr>
            <w:tcW w:w="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June 8, 2026</w:t>
            </w:r>
          </w:p>
        </w:tc>
        <w:tc>
          <w:tcPr>
            <w:tcW w:w="5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 PETER F. MINAN</w:t>
            </w:r>
          </w:p>
        </w:tc>
      </w:tr>
      <w:tr>
        <w:trPr>
          <w:trHeight w:val="216"/>
        </w:trPr>
        <w:tc>
          <w:tcPr>
            <w:tcW w:w="8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Peter F. Minan</w:t>
            </w:r>
          </w:p>
        </w:tc>
        <w:tc>
          <w:tcPr>
            <w:tcW w:w="180" w:type="dxa"/>
            <w:vAlign w:val="bottom"/>
          </w:tcPr>
          <w:p>
            <w:pPr>
              <w:spacing w:after="0"/>
              <w:rPr>
                <w:sz w:val="18"/>
                <w:szCs w:val="18"/>
                <w:color w:val="auto"/>
              </w:rPr>
            </w:pPr>
          </w:p>
        </w:tc>
      </w:tr>
      <w:tr>
        <w:trPr>
          <w:trHeight w:val="231"/>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34"/>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 behalf of the registrant and as Principal Financial Officer)</w:t>
            </w:r>
          </w:p>
        </w:tc>
      </w:tr>
      <w:tr>
        <w:trPr>
          <w:trHeight w:val="49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June 8, 2026</w:t>
            </w:r>
          </w:p>
        </w:tc>
        <w:tc>
          <w:tcPr>
            <w:tcW w:w="5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 SAMUEL C. FENICE</w:t>
            </w:r>
          </w:p>
        </w:tc>
      </w:tr>
      <w:tr>
        <w:trPr>
          <w:trHeight w:val="216"/>
        </w:trPr>
        <w:tc>
          <w:tcPr>
            <w:tcW w:w="8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Samuel C. Fenice</w:t>
            </w:r>
          </w:p>
        </w:tc>
        <w:tc>
          <w:tcPr>
            <w:tcW w:w="180" w:type="dxa"/>
            <w:vAlign w:val="bottom"/>
          </w:tcPr>
          <w:p>
            <w:pPr>
              <w:spacing w:after="0"/>
              <w:rPr>
                <w:sz w:val="18"/>
                <w:szCs w:val="18"/>
                <w:color w:val="auto"/>
              </w:rPr>
            </w:pPr>
          </w:p>
        </w:tc>
      </w:tr>
      <w:tr>
        <w:trPr>
          <w:trHeight w:val="232"/>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4"/>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675"/>
        </w:trPr>
        <w:tc>
          <w:tcPr>
            <w:tcW w:w="8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4"/>
                <w:szCs w:val="24"/>
                <w:color w:val="auto"/>
              </w:rPr>
            </w:pPr>
          </w:p>
        </w:tc>
      </w:tr>
    </w:tbl>
    <w:p>
      <w:pPr>
        <w:sectPr>
          <w:pgSz w:w="11900" w:h="16838" w:orient="portrait"/>
          <w:cols w:equalWidth="0" w:num="1">
            <w:col w:w="11200"/>
          </w:cols>
          <w:pgMar w:left="320" w:top="155" w:right="3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C. Hochman, certify that:</w:t>
      </w:r>
    </w:p>
    <w:p>
      <w:pPr>
        <w:spacing w:after="0" w:line="117" w:lineRule="exact"/>
        <w:rPr>
          <w:sz w:val="20"/>
          <w:szCs w:val="20"/>
          <w:color w:val="auto"/>
        </w:rPr>
      </w:pPr>
    </w:p>
    <w:p>
      <w:pPr>
        <w:ind w:left="520" w:hanging="350"/>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Enviri Corporation;</w:t>
      </w:r>
    </w:p>
    <w:p>
      <w:pPr>
        <w:spacing w:after="0" w:line="117" w:lineRule="exact"/>
        <w:rPr>
          <w:rFonts w:ascii="Times New Roman" w:cs="Times New Roman" w:eastAsia="Times New Roman" w:hAnsi="Times New Roman"/>
          <w:sz w:val="18"/>
          <w:szCs w:val="18"/>
          <w:color w:val="auto"/>
        </w:rPr>
      </w:pPr>
    </w:p>
    <w:p>
      <w:pPr>
        <w:ind w:left="660" w:right="140" w:hanging="490"/>
        <w:spacing w:after="0" w:line="266" w:lineRule="auto"/>
        <w:tabs>
          <w:tab w:leader="none" w:pos="5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220" w:hanging="490"/>
        <w:spacing w:after="0" w:line="282" w:lineRule="auto"/>
        <w:tabs>
          <w:tab w:leader="none" w:pos="5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490"/>
        <w:spacing w:after="0" w:line="266" w:lineRule="auto"/>
        <w:tabs>
          <w:tab w:leader="none" w:pos="5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100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360" w:hanging="324"/>
        <w:spacing w:after="0" w:line="266" w:lineRule="auto"/>
        <w:tabs>
          <w:tab w:leader="none" w:pos="10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22"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hanging="324"/>
        <w:spacing w:after="0" w:line="266" w:lineRule="auto"/>
        <w:tabs>
          <w:tab w:leader="none" w:pos="10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220" w:hanging="410"/>
        <w:spacing w:after="0" w:line="282" w:lineRule="auto"/>
        <w:tabs>
          <w:tab w:leader="none" w:pos="5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100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10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8, 2026</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C.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C. Hochman</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 Minan, certify that:</w:t>
      </w:r>
    </w:p>
    <w:p>
      <w:pPr>
        <w:spacing w:after="0" w:line="117" w:lineRule="exact"/>
        <w:rPr>
          <w:sz w:val="20"/>
          <w:szCs w:val="20"/>
          <w:color w:val="auto"/>
        </w:rPr>
      </w:pPr>
    </w:p>
    <w:p>
      <w:pPr>
        <w:ind w:left="520" w:hanging="350"/>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Enviri Corporation;</w:t>
      </w:r>
    </w:p>
    <w:p>
      <w:pPr>
        <w:spacing w:after="0" w:line="117" w:lineRule="exact"/>
        <w:rPr>
          <w:rFonts w:ascii="Times New Roman" w:cs="Times New Roman" w:eastAsia="Times New Roman" w:hAnsi="Times New Roman"/>
          <w:sz w:val="18"/>
          <w:szCs w:val="18"/>
          <w:color w:val="auto"/>
        </w:rPr>
      </w:pPr>
    </w:p>
    <w:p>
      <w:pPr>
        <w:ind w:left="660" w:right="140" w:hanging="490"/>
        <w:spacing w:after="0" w:line="266" w:lineRule="auto"/>
        <w:tabs>
          <w:tab w:leader="none" w:pos="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220" w:hanging="490"/>
        <w:spacing w:after="0" w:line="282" w:lineRule="auto"/>
        <w:tabs>
          <w:tab w:leader="none" w:pos="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490"/>
        <w:spacing w:after="0" w:line="266" w:lineRule="auto"/>
        <w:tabs>
          <w:tab w:leader="none" w:pos="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10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360" w:hanging="324"/>
        <w:spacing w:after="0" w:line="266" w:lineRule="auto"/>
        <w:tabs>
          <w:tab w:leader="none" w:pos="10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22"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hanging="324"/>
        <w:spacing w:after="0" w:line="266" w:lineRule="auto"/>
        <w:tabs>
          <w:tab w:leader="none" w:pos="10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20" w:hanging="490"/>
        <w:spacing w:after="0" w:line="282" w:lineRule="auto"/>
        <w:tabs>
          <w:tab w:leader="none" w:pos="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10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10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8, 2026</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F. Minan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F. Minan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3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Enviri Corporation (the "Company") on Form 10-Q for the period ending March 31, 2026, as filed with the Securities and Exchange Commission on the date hereof (the "Report"), we certify, pursuant to 18 U.S.C. Section 1350, as adopted pursuant to Section 906 of the Sarbanes-Oxley Act of 2002, that, to the best of our knowledge:</w:t>
      </w:r>
    </w:p>
    <w:p>
      <w:pPr>
        <w:spacing w:after="0" w:line="108"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right="140" w:firstLine="332"/>
        <w:spacing w:after="0" w:line="446" w:lineRule="auto"/>
        <w:tabs>
          <w:tab w:leader="none" w:pos="6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June 8, 2026</w:t>
      </w:r>
    </w:p>
    <w:p>
      <w:pPr>
        <w:ind w:left="20"/>
        <w:spacing w:after="0"/>
        <w:rPr>
          <w:sz w:val="20"/>
          <w:szCs w:val="20"/>
          <w:color w:val="auto"/>
        </w:rPr>
      </w:pPr>
      <w:r>
        <w:rPr>
          <w:rFonts w:ascii="Times New Roman" w:cs="Times New Roman" w:eastAsia="Times New Roman" w:hAnsi="Times New Roman"/>
          <w:sz w:val="18"/>
          <w:szCs w:val="18"/>
          <w:color w:val="auto"/>
        </w:rPr>
        <w:t>/s/ RUSSELL C.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C. Hoffman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F. MINAN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F. Minan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Enviri Corporation and will be retained by Enviri Corporation and furnished to the Securities and Exchange Commission or its staff upon request.</w:t>
      </w:r>
    </w:p>
    <w:sectPr>
      <w:pgSz w:w="11900" w:h="16838" w:orient="portrait"/>
      <w:cols w:equalWidth="0" w:num="1">
        <w:col w:w="11240"/>
      </w:cols>
      <w:pgMar w:left="320" w:top="12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0"/>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12"/>
    </w:lvl>
  </w:abstractNum>
  <w:abstractNum w:abstractNumId="21">
    <w:nsid w:val="4516DDE9"/>
    <w:multiLevelType w:val="hybridMultilevel"/>
    <w:lvl w:ilvl="0">
      <w:lvlJc w:val="left"/>
      <w:lvlText w:val="%1."/>
      <w:numFmt w:val="decimal"/>
      <w:start w:val="13"/>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decimal"/>
      <w:start w:val="1"/>
    </w:lvl>
    <w:lvl w:ilvl="1">
      <w:lvlJc w:val="left"/>
      <w:lvlText w:val="(%2)"/>
      <w:numFmt w:val="lowerLetter"/>
      <w:start w:val="1"/>
    </w:lvl>
  </w:abstractNum>
  <w:abstractNum w:abstractNumId="26">
    <w:nsid w:val="440BADFC"/>
    <w:multiLevelType w:val="hybridMultilevel"/>
    <w:lvl w:ilvl="0">
      <w:lvlJc w:val="left"/>
      <w:lvlText w:val="%1."/>
      <w:numFmt w:val="decimal"/>
      <w:start w:val="17"/>
    </w:lvl>
    <w:lvl w:ilvl="1">
      <w:lvlJc w:val="left"/>
      <w:lvlText w:val="%2"/>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32"/>
    </w:lvl>
  </w:abstractNum>
  <w:abstractNum w:abstractNumId="40">
    <w:nsid w:val="6A2342EC"/>
    <w:multiLevelType w:val="hybridMultilevel"/>
    <w:lvl w:ilvl="0">
      <w:lvlJc w:val="left"/>
      <w:lvlText w:val="†"/>
      <w:numFmt w:val="bullet"/>
      <w:start w:val="1"/>
    </w:lvl>
    <w:lvl w:ilvl="1">
      <w:lvlJc w:val="left"/>
      <w:lvlText w:val="%2"/>
      <w:numFmt w:val="decimal"/>
      <w:start w:val="104"/>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25" Type="http://schemas.openxmlformats.org/officeDocument/2006/relationships/hyperlink" Target="https://www.sec.gov/Archives/edgar/data/2104052/000119312526251752/d258410dex31.htm" TargetMode="External"/><Relationship Id="rId126" Type="http://schemas.openxmlformats.org/officeDocument/2006/relationships/hyperlink" Target="https://www.sec.gov/Archives/edgar/data/2104052/000119312526251752/d258410dex32.htm" TargetMode="External"/><Relationship Id="rId127" Type="http://schemas.openxmlformats.org/officeDocument/2006/relationships/hyperlink" Target="https://www.sec.gov/Archives/edgar/data/2104052/000119312526251752/d258410dex33.htm" TargetMode="External"/><Relationship Id="rId128" Type="http://schemas.openxmlformats.org/officeDocument/2006/relationships/hyperlink" Target="https://www.sec.gov/Archives/edgar/data/2104052/000119312526251752/d258410dex34.htm" TargetMode="External"/><Relationship Id="rId129" Type="http://schemas.openxmlformats.org/officeDocument/2006/relationships/hyperlink" Target="https://www.sec.gov/Archives/edgar/data/2104052/000119312526251752/d258410dex101.htm" TargetMode="External"/><Relationship Id="rId130" Type="http://schemas.openxmlformats.org/officeDocument/2006/relationships/hyperlink" Target="https://www.sec.gov/Archives/edgar/data/2104052/000119312526251752/d258410dex102.htm" TargetMode="External"/><Relationship Id="rId131" Type="http://schemas.openxmlformats.org/officeDocument/2006/relationships/hyperlink" Target="https://www.sec.gov/Archives/edgar/data/45876/000119312516762956/d267938dex101.htm" TargetMode="External"/><Relationship Id="rId132" Type="http://schemas.openxmlformats.org/officeDocument/2006/relationships/hyperlink" Target="https://www.sec.gov/Archives/edgar/data/2104052/000119312526251752/d258410dex103.htm" TargetMode="External"/><Relationship Id="rId133" Type="http://schemas.openxmlformats.org/officeDocument/2006/relationships/hyperlink" Target="https://www.sec.gov/Archives/edgar/data/2104052/000210405226000067/exhibit101enviriiicorpor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2026-06-08T16:22:47Z</dcterms:created>
  <dcterms:modified xsi:type="dcterms:W3CDTF">2026-06-08T16:22:47Z</dcterms:modified>
</cp:coreProperties>
</file>