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ENVIRI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5,561,253.00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5,678,471.00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5,678,471.00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ENVIRI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40"/>
        <w:spacing w:after="0"/>
        <w:rPr>
          <w:sz w:val="20"/>
          <w:szCs w:val="20"/>
          <w:color w:val="auto"/>
        </w:rPr>
      </w:pPr>
      <w:r>
        <w:rPr>
          <w:rFonts w:ascii="Times New Roman" w:cs="Times New Roman" w:eastAsia="Times New Roman" w:hAnsi="Times New Roman"/>
          <w:sz w:val="22"/>
          <w:szCs w:val="22"/>
          <w:color w:val="auto"/>
        </w:rPr>
        <w:t>TWO LOGAN SQUARE, 100-120 NORTH 18TH STREET, 17TH FLOOR PHILADELPHIA PA 19103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5678471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5561253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5678471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ENVIRI Corp. No one person's interest in the common stock of ENVIRI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2026-06-04T11:13:20Z</dcterms:created>
  <dcterms:modified xsi:type="dcterms:W3CDTF">2026-06-04T11:13:20Z</dcterms:modified>
</cp:coreProperties>
</file>