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001-03970</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ENVIRI Corp</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160"/>
        <w:spacing w:after="0"/>
        <w:tabs>
          <w:tab w:leader="none" w:pos="37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Two Logan Square 100-120 North 18th St</w:t>
      </w:r>
    </w:p>
    <w:p>
      <w:pPr>
        <w:spacing w:after="0" w:line="62" w:lineRule="exact"/>
        <w:rPr>
          <w:sz w:val="24"/>
          <w:szCs w:val="24"/>
          <w:color w:val="auto"/>
        </w:rPr>
      </w:pPr>
    </w:p>
    <w:p>
      <w:pPr>
        <w:jc w:val="center"/>
        <w:ind w:right="-319"/>
        <w:spacing w:after="0"/>
        <w:tabs>
          <w:tab w:leader="none" w:pos="120" w:val="left"/>
        </w:tabs>
        <w:rPr>
          <w:sz w:val="20"/>
          <w:szCs w:val="20"/>
          <w:color w:val="auto"/>
        </w:rPr>
      </w:pPr>
      <w:r>
        <w:rPr>
          <w:rFonts w:ascii="Times New Roman" w:cs="Times New Roman" w:eastAsia="Times New Roman" w:hAnsi="Times New Roman"/>
          <w:sz w:val="18"/>
          <w:szCs w:val="18"/>
          <w:color w:val="0000FF"/>
        </w:rPr>
        <w:t>Philadelphia PENNSYLVANIA</w:t>
      </w:r>
      <w:r>
        <w:rPr>
          <w:sz w:val="20"/>
          <w:szCs w:val="20"/>
          <w:color w:val="auto"/>
        </w:rPr>
        <w:tab/>
      </w:r>
      <w:r>
        <w:rPr>
          <w:rFonts w:ascii="Times New Roman" w:cs="Times New Roman" w:eastAsia="Times New Roman" w:hAnsi="Times New Roman"/>
          <w:sz w:val="16"/>
          <w:szCs w:val="16"/>
          <w:color w:val="0000FF"/>
        </w:rPr>
        <w:t>19103</w:t>
      </w:r>
    </w:p>
    <w:p>
      <w:pPr>
        <w:spacing w:after="0" w:line="63" w:lineRule="exact"/>
        <w:rPr>
          <w:sz w:val="24"/>
          <w:szCs w:val="24"/>
          <w:color w:val="auto"/>
        </w:rPr>
      </w:pPr>
    </w:p>
    <w:tbl>
      <w:tblPr>
        <w:tblLayout w:type="fixed"/>
        <w:tblInd w:w="2160" w:type="dxa"/>
        <w:tblCellMar>
          <w:top w:w="0" w:type="dxa"/>
          <w:left w:w="0" w:type="dxa"/>
          <w:bottom w:w="0" w:type="dxa"/>
          <w:right w:w="0" w:type="dxa"/>
        </w:tblCellMar>
      </w:tblPr>
      <w:tr>
        <w:trPr>
          <w:trHeight w:val="232"/>
        </w:trPr>
        <w:tc>
          <w:tcPr>
            <w:tcW w:w="3040" w:type="dxa"/>
            <w:vAlign w:val="bottom"/>
          </w:tcPr>
          <w:p>
            <w:pPr>
              <w:spacing w:after="0"/>
              <w:rPr>
                <w:sz w:val="20"/>
                <w:szCs w:val="20"/>
                <w:color w:val="auto"/>
              </w:rPr>
            </w:pPr>
            <w:r>
              <w:rPr>
                <w:rFonts w:ascii="Arial" w:cs="Arial" w:eastAsia="Arial" w:hAnsi="Arial"/>
                <w:sz w:val="18"/>
                <w:szCs w:val="18"/>
                <w:color w:val="auto"/>
              </w:rPr>
              <w:t>Telephone number: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(717) 763-7064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2026-06-01</w:t>
            </w: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5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Anthony Sozzi</w:t>
            </w:r>
          </w:p>
        </w:tc>
        <w:tc>
          <w:tcPr>
            <w:tcW w:w="26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Analyst, Market Watch</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5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3"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June 12, 2026, pursuant to the provisions of Rule 12d2-2 (a). [ X ] 17 CFR 240.12d2-2(a)(3) That on June 1, 2026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mandatory exchange of Enviri Corporation Common Stock became effective on June 1, 2026. Each share of Enviri Corporation Common Stock will ultimately be converted into the right to receive $15.00 in cash, without interest and less any applicable withholding taxes and approximately 0.3333333333 of a share of "New" Enviri Corporation (to be renamed from "Enviri II Corporation") Common Stock This Form 25 is being filed solely in connection with the discontinuation of the trading on NYSE of the Common Stock of Enviri Corporation (NVRI old CUSIP: 415864107) and does not affect the continued listing on NYSE of the Common Stock of Enviri Corporation (NVRI New. CUSIP: 29390K102). The Exchange also notifies the Securities and Exchange Commission that as a result of the above indicated conditions this security was suspended from trading on June 1, 2026.</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03970" TargetMode="External"/><Relationship Id="rId11" Type="http://schemas.openxmlformats.org/officeDocument/2006/relationships/hyperlink" Target="http://www.sec.gov/cgi-bin/browse-edgar?action=getcompany&amp;CIK=0000045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2026-06-01T08:17:13Z</dcterms:created>
  <dcterms:modified xsi:type="dcterms:W3CDTF">2026-06-01T08:17:13Z</dcterms:modified>
</cp:coreProperties>
</file>