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41300621.xml.htm"/>
      <w:bookmarkStart w:id="1" w:name="kswkform4_174130062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Kozak Jennifer Ott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100-120 NORTH 18TH STREET, 17TH FLOOR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ENVIRI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NVRI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Senior Vice President &amp; CHRO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03/04/2025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03/04/2025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1,740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7,163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03/04/2025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892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6.03</w:t>
            </w:r>
            <w:r>
              <w:rPr/>
              <w:t xml:space="preserve"> 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6,271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76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220"/>
        <w:gridCol w:w="861"/>
        <w:gridCol w:w="891"/>
        <w:gridCol w:w="771"/>
        <w:gridCol w:w="591"/>
        <w:gridCol w:w="300"/>
        <w:gridCol w:w="711"/>
        <w:gridCol w:w="60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76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22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31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22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22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03/04/2025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30,496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30,496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69,191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2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03/04/2025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1,740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1,740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67,451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2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Performance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03/04/2025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30,496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12/31/2027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30,496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30,496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2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Appreciation Rights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6.03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03/04/2025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48,776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03/04/2035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48,776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48,776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granted under the 2013 Equity and Incentive Compensation Plan represent a contingent right to receive Enviri common stock on a one-for-one basis when the restricted stock units vest. The restricted stock units vest in one-third increments on each of the first three anniversaries of the date of grant.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performance share unit represents a contingent right to receive the equivalent of one share of Enviri common stock. Upon vesting, 50% of the performance share units will be settled in shares of Enviri common stock and 50% of the performance share units will be settled in cash. The performance share units vest based on the total shareholder return of Enviri common stock relative to the S&amp;P 600 Industrials Index. The performance share units vest on 12/31/2027.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stock appreciation rights vest in one-third increments on each of the first three anniversaries of the date of grant.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Jennifer O. Kozak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03/06/2025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49030" TargetMode="External"/><Relationship Id="rId5" Type="http://schemas.openxmlformats.org/officeDocument/2006/relationships/hyperlink" Target="http://www.sec.gov/cgi-bin/browse-edgar?action=getcompany&amp;CIK=000004587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784</Words>
  <Characters>4170</Characters>
  <CharactersWithSpaces>4847</CharactersWithSpaces>
  <Paragraphs>154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