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40"/>
        <w:spacing w:after="0"/>
        <w:rPr>
          <w:sz w:val="20"/>
          <w:szCs w:val="20"/>
          <w:color w:val="auto"/>
        </w:rPr>
      </w:pPr>
      <w:r>
        <w:rPr>
          <w:rFonts w:ascii="Arial" w:cs="Arial" w:eastAsia="Arial" w:hAnsi="Arial"/>
          <w:sz w:val="20"/>
          <w:szCs w:val="20"/>
          <w:color w:val="auto"/>
        </w:rPr>
        <w:t>UNITED STATES</w:t>
      </w:r>
    </w:p>
    <w:p>
      <w:pPr>
        <w:spacing w:after="0" w:line="31" w:lineRule="exact"/>
        <w:rPr>
          <w:sz w:val="24"/>
          <w:szCs w:val="24"/>
          <w:color w:val="auto"/>
        </w:rPr>
      </w:pPr>
    </w:p>
    <w:p>
      <w:pPr>
        <w:ind w:left="2420"/>
        <w:spacing w:after="0"/>
        <w:rPr>
          <w:sz w:val="20"/>
          <w:szCs w:val="20"/>
          <w:color w:val="auto"/>
        </w:rPr>
      </w:pPr>
      <w:r>
        <w:rPr>
          <w:rFonts w:ascii="Arial" w:cs="Arial" w:eastAsia="Arial" w:hAnsi="Arial"/>
          <w:sz w:val="20"/>
          <w:szCs w:val="20"/>
          <w:color w:val="auto"/>
        </w:rPr>
        <w:t>SECURITIES AND EXCHANGE COMMISSION</w:t>
      </w: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90"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____________________</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11-K</w:t>
      </w:r>
    </w:p>
    <w:p>
      <w:pPr>
        <w:spacing w:after="0" w:line="41"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____________________</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2700" w:right="259" w:hanging="2452"/>
        <w:spacing w:after="0" w:line="28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15(d) OF THE SECURITIES EXCHANGE ACT OF 1934 For the fiscal year ended December 31, 2025</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ind w:left="1900" w:right="119" w:hanging="1797"/>
        <w:spacing w:after="0" w:line="287" w:lineRule="auto"/>
        <w:tabs>
          <w:tab w:leader="none" w:pos="205"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15(d) OF THE SECURITIES EXCHANGE ACT OF 1934 For the transition period from _____________ to _____________</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Commission File Number </w:t>
      </w:r>
      <w:r>
        <w:rPr>
          <w:rFonts w:ascii="Arial" w:cs="Arial" w:eastAsia="Arial" w:hAnsi="Arial"/>
          <w:sz w:val="22"/>
          <w:szCs w:val="22"/>
          <w:b w:val="1"/>
          <w:bCs w:val="1"/>
          <w:u w:val="single" w:color="auto"/>
          <w:color w:val="auto"/>
        </w:rPr>
        <w:t>001-03970</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ENVIRI CORPORATION SAVINGS PLAN</w:t>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ENVIRI CORPORATION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Two Logan Square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100-120 North 18th Street, 17th Floor</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Philadelphia, PA 19103</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Telephone (267) 857-8715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546735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Enviri Corporation Savings Plan</w:t>
      </w:r>
    </w:p>
    <w:p>
      <w:pPr>
        <w:spacing w:after="0" w:line="277" w:lineRule="exact"/>
        <w:rPr>
          <w:sz w:val="20"/>
          <w:szCs w:val="20"/>
          <w:color w:val="auto"/>
        </w:rPr>
      </w:pPr>
    </w:p>
    <w:p>
      <w:pPr>
        <w:ind w:right="1999"/>
        <w:spacing w:after="0" w:line="323" w:lineRule="auto"/>
        <w:rPr>
          <w:sz w:val="20"/>
          <w:szCs w:val="20"/>
          <w:color w:val="auto"/>
        </w:rPr>
      </w:pPr>
      <w:r>
        <w:rPr>
          <w:rFonts w:ascii="Arial" w:cs="Arial" w:eastAsia="Arial" w:hAnsi="Arial"/>
          <w:sz w:val="21"/>
          <w:szCs w:val="21"/>
          <w:b w:val="1"/>
          <w:bCs w:val="1"/>
          <w:color w:val="auto"/>
        </w:rPr>
        <w:t>Financial Statements as of December 31, 2025 and 2024 and for the Year Ended December 31, 2025 and Supplemental Schedule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ENVIRI CORPORATION SAVINGS PLAN</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INDEX</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80" w:type="dxa"/>
            <w:vAlign w:val="bottom"/>
          </w:tcPr>
          <w:p>
            <w:pPr>
              <w:spacing w:after="0"/>
              <w:rPr>
                <w:sz w:val="17"/>
                <w:szCs w:val="17"/>
                <w:color w:val="auto"/>
              </w:rPr>
            </w:pPr>
          </w:p>
        </w:tc>
        <w:tc>
          <w:tcPr>
            <w:tcW w:w="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Page</w:t>
            </w:r>
          </w:p>
        </w:tc>
      </w:tr>
      <w:tr>
        <w:trPr>
          <w:trHeight w:val="479"/>
        </w:trPr>
        <w:tc>
          <w:tcPr>
            <w:tcW w:w="101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60" w:type="dxa"/>
            <w:vAlign w:val="bottom"/>
            <w:gridSpan w:val="3"/>
          </w:tcPr>
          <w:p>
            <w:pPr>
              <w:jc w:val="center"/>
              <w:ind w:left="70"/>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15"/>
        </w:trPr>
        <w:tc>
          <w:tcPr>
            <w:tcW w:w="10180" w:type="dxa"/>
            <w:vAlign w:val="bottom"/>
          </w:tcPr>
          <w:p>
            <w:pPr>
              <w:spacing w:after="0"/>
              <w:rPr>
                <w:sz w:val="20"/>
                <w:szCs w:val="20"/>
                <w:color w:val="auto"/>
              </w:rPr>
            </w:pPr>
            <w:r>
              <w:rPr>
                <w:rFonts w:ascii="Arial" w:cs="Arial" w:eastAsia="Arial" w:hAnsi="Arial"/>
                <w:sz w:val="18"/>
                <w:szCs w:val="18"/>
                <w:color w:val="auto"/>
              </w:rPr>
              <w:t>Financial Statements: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10180" w:type="dxa"/>
            <w:vAlign w:val="bottom"/>
          </w:tcPr>
          <w:p>
            <w:pPr>
              <w:ind w:left="320"/>
              <w:spacing w:after="0"/>
              <w:rPr>
                <w:sz w:val="20"/>
                <w:szCs w:val="20"/>
                <w:color w:val="auto"/>
              </w:rPr>
            </w:pPr>
            <w:r>
              <w:rPr>
                <w:rFonts w:ascii="Arial" w:cs="Arial" w:eastAsia="Arial" w:hAnsi="Arial"/>
                <w:sz w:val="18"/>
                <w:szCs w:val="18"/>
                <w:color w:val="auto"/>
              </w:rPr>
              <w:t>Statements of Net Assets Available for Benefits as of</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4"/>
        </w:trPr>
        <w:tc>
          <w:tcPr>
            <w:tcW w:w="10180" w:type="dxa"/>
            <w:vAlign w:val="bottom"/>
          </w:tcPr>
          <w:p>
            <w:pPr>
              <w:ind w:left="320"/>
              <w:spacing w:after="0" w:line="195" w:lineRule="exact"/>
              <w:rPr>
                <w:sz w:val="20"/>
                <w:szCs w:val="20"/>
                <w:color w:val="auto"/>
              </w:rPr>
            </w:pPr>
            <w:r>
              <w:rPr>
                <w:rFonts w:ascii="Arial" w:cs="Arial" w:eastAsia="Arial" w:hAnsi="Arial"/>
                <w:sz w:val="18"/>
                <w:szCs w:val="18"/>
                <w:color w:val="auto"/>
              </w:rPr>
              <w:t>December 31, 2025 and 2024</w:t>
            </w:r>
          </w:p>
        </w:tc>
        <w:tc>
          <w:tcPr>
            <w:tcW w:w="260" w:type="dxa"/>
            <w:vAlign w:val="bottom"/>
            <w:gridSpan w:val="3"/>
          </w:tcPr>
          <w:p>
            <w:pPr>
              <w:jc w:val="center"/>
              <w:ind w:left="70"/>
              <w:spacing w:after="0" w:line="195" w:lineRule="exact"/>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15"/>
        </w:trPr>
        <w:tc>
          <w:tcPr>
            <w:tcW w:w="10180" w:type="dxa"/>
            <w:vAlign w:val="bottom"/>
          </w:tcPr>
          <w:p>
            <w:pPr>
              <w:ind w:left="320"/>
              <w:spacing w:after="0"/>
              <w:rPr>
                <w:sz w:val="20"/>
                <w:szCs w:val="20"/>
                <w:color w:val="auto"/>
              </w:rPr>
            </w:pPr>
            <w:r>
              <w:rPr>
                <w:rFonts w:ascii="Arial" w:cs="Arial" w:eastAsia="Arial" w:hAnsi="Arial"/>
                <w:sz w:val="18"/>
                <w:szCs w:val="18"/>
                <w:color w:val="auto"/>
              </w:rPr>
              <w:t>Statement of Changes in Net Assets Available for Benefits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10180" w:type="dxa"/>
            <w:vAlign w:val="bottom"/>
          </w:tcPr>
          <w:p>
            <w:pPr>
              <w:ind w:left="320"/>
              <w:spacing w:after="0" w:line="195" w:lineRule="exact"/>
              <w:rPr>
                <w:sz w:val="20"/>
                <w:szCs w:val="20"/>
                <w:color w:val="auto"/>
              </w:rPr>
            </w:pPr>
            <w:r>
              <w:rPr>
                <w:rFonts w:ascii="Arial" w:cs="Arial" w:eastAsia="Arial" w:hAnsi="Arial"/>
                <w:sz w:val="18"/>
                <w:szCs w:val="18"/>
                <w:color w:val="auto"/>
              </w:rPr>
              <w:t>For the Year Ended December 31, 2025</w:t>
            </w:r>
          </w:p>
        </w:tc>
        <w:tc>
          <w:tcPr>
            <w:tcW w:w="16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79"/>
        </w:trPr>
        <w:tc>
          <w:tcPr>
            <w:tcW w:w="10180" w:type="dxa"/>
            <w:vAlign w:val="bottom"/>
          </w:tcPr>
          <w:p>
            <w:pPr>
              <w:ind w:left="320"/>
              <w:spacing w:after="0"/>
              <w:rPr>
                <w:sz w:val="20"/>
                <w:szCs w:val="20"/>
                <w:color w:val="auto"/>
              </w:rPr>
            </w:pPr>
            <w:r>
              <w:rPr>
                <w:rFonts w:ascii="Arial" w:cs="Arial" w:eastAsia="Arial" w:hAnsi="Arial"/>
                <w:sz w:val="18"/>
                <w:szCs w:val="18"/>
                <w:color w:val="auto"/>
              </w:rPr>
              <w:t>Notes to Financial Statements</w:t>
            </w:r>
          </w:p>
        </w:tc>
        <w:tc>
          <w:tcPr>
            <w:tcW w:w="260" w:type="dxa"/>
            <w:vAlign w:val="bottom"/>
            <w:gridSpan w:val="3"/>
          </w:tcPr>
          <w:p>
            <w:pPr>
              <w:jc w:val="center"/>
              <w:ind w:left="70"/>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15"/>
        </w:trPr>
        <w:tc>
          <w:tcPr>
            <w:tcW w:w="10180" w:type="dxa"/>
            <w:vAlign w:val="bottom"/>
          </w:tcPr>
          <w:p>
            <w:pPr>
              <w:spacing w:after="0"/>
              <w:rPr>
                <w:sz w:val="20"/>
                <w:szCs w:val="20"/>
                <w:color w:val="auto"/>
              </w:rPr>
            </w:pPr>
            <w:r>
              <w:rPr>
                <w:rFonts w:ascii="Arial" w:cs="Arial" w:eastAsia="Arial" w:hAnsi="Arial"/>
                <w:sz w:val="18"/>
                <w:szCs w:val="18"/>
                <w:color w:val="auto"/>
              </w:rPr>
              <w:t>Supplemental Schedule: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10180" w:type="dxa"/>
            <w:vAlign w:val="bottom"/>
          </w:tcPr>
          <w:p>
            <w:pPr>
              <w:ind w:left="320"/>
              <w:spacing w:after="0" w:line="195" w:lineRule="exact"/>
              <w:rPr>
                <w:sz w:val="20"/>
                <w:szCs w:val="20"/>
                <w:color w:val="auto"/>
              </w:rPr>
            </w:pPr>
            <w:r>
              <w:rPr>
                <w:rFonts w:ascii="Arial" w:cs="Arial" w:eastAsia="Arial" w:hAnsi="Arial"/>
                <w:sz w:val="18"/>
                <w:szCs w:val="18"/>
                <w:color w:val="auto"/>
              </w:rPr>
              <w:t>Schedule H, Line 4(i) - Schedule of Assets (Held at End of Year) - December 31, 2025 *</w:t>
            </w:r>
          </w:p>
        </w:tc>
        <w:tc>
          <w:tcPr>
            <w:tcW w:w="420" w:type="dxa"/>
            <w:vAlign w:val="bottom"/>
            <w:gridSpan w:val="5"/>
          </w:tcPr>
          <w:p>
            <w:pPr>
              <w:jc w:val="center"/>
              <w:spacing w:after="0" w:line="195" w:lineRule="exact"/>
              <w:rPr>
                <w:sz w:val="20"/>
                <w:szCs w:val="20"/>
                <w:color w:val="auto"/>
              </w:rPr>
            </w:pPr>
            <w:r>
              <w:rPr>
                <w:rFonts w:ascii="Arial" w:cs="Arial" w:eastAsia="Arial" w:hAnsi="Arial"/>
                <w:sz w:val="18"/>
                <w:szCs w:val="18"/>
                <w:color w:val="0000FF"/>
                <w:w w:val="99"/>
              </w:rPr>
              <w:t>10</w:t>
            </w:r>
          </w:p>
        </w:tc>
      </w:tr>
      <w:tr>
        <w:trPr>
          <w:trHeight w:val="20"/>
        </w:trPr>
        <w:tc>
          <w:tcPr>
            <w:tcW w:w="10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480"/>
        </w:trPr>
        <w:tc>
          <w:tcPr>
            <w:tcW w:w="10180" w:type="dxa"/>
            <w:vAlign w:val="bottom"/>
          </w:tcPr>
          <w:p>
            <w:pPr>
              <w:spacing w:after="0"/>
              <w:rPr>
                <w:sz w:val="20"/>
                <w:szCs w:val="20"/>
                <w:color w:val="auto"/>
              </w:rPr>
            </w:pPr>
            <w:r>
              <w:rPr>
                <w:rFonts w:ascii="Arial" w:cs="Arial" w:eastAsia="Arial" w:hAnsi="Arial"/>
                <w:sz w:val="18"/>
                <w:szCs w:val="18"/>
                <w:color w:val="auto"/>
              </w:rPr>
              <w:t>Signatures</w:t>
            </w:r>
          </w:p>
        </w:tc>
        <w:tc>
          <w:tcPr>
            <w:tcW w:w="300" w:type="dxa"/>
            <w:vAlign w:val="bottom"/>
            <w:gridSpan w:val="4"/>
          </w:tcPr>
          <w:p>
            <w:pPr>
              <w:jc w:val="center"/>
              <w:ind w:left="30"/>
              <w:spacing w:after="0"/>
              <w:rPr>
                <w:sz w:val="20"/>
                <w:szCs w:val="20"/>
                <w:color w:val="auto"/>
              </w:rPr>
            </w:pPr>
            <w:r>
              <w:rPr>
                <w:rFonts w:ascii="Arial" w:cs="Arial" w:eastAsia="Arial" w:hAnsi="Arial"/>
                <w:sz w:val="18"/>
                <w:szCs w:val="18"/>
                <w:color w:val="0000FF"/>
                <w:w w:val="89"/>
              </w:rPr>
              <w:t>11</w:t>
            </w:r>
          </w:p>
        </w:tc>
        <w:tc>
          <w:tcPr>
            <w:tcW w:w="120" w:type="dxa"/>
            <w:vAlign w:val="bottom"/>
          </w:tcPr>
          <w:p>
            <w:pPr>
              <w:spacing w:after="0"/>
              <w:rPr>
                <w:sz w:val="24"/>
                <w:szCs w:val="24"/>
                <w:color w:val="auto"/>
              </w:rPr>
            </w:pPr>
          </w:p>
        </w:tc>
      </w:tr>
      <w:tr>
        <w:trPr>
          <w:trHeight w:val="20"/>
        </w:trPr>
        <w:tc>
          <w:tcPr>
            <w:tcW w:w="10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9"/>
        </w:trPr>
        <w:tc>
          <w:tcPr>
            <w:tcW w:w="10180" w:type="dxa"/>
            <w:vAlign w:val="bottom"/>
          </w:tcPr>
          <w:p>
            <w:pPr>
              <w:spacing w:after="0"/>
              <w:rPr>
                <w:sz w:val="20"/>
                <w:szCs w:val="20"/>
                <w:color w:val="auto"/>
              </w:rPr>
            </w:pPr>
            <w:r>
              <w:rPr>
                <w:rFonts w:ascii="Arial" w:cs="Arial" w:eastAsia="Arial" w:hAnsi="Arial"/>
                <w:sz w:val="18"/>
                <w:szCs w:val="18"/>
                <w:color w:val="auto"/>
              </w:rPr>
              <w:t>Exhibit Index</w:t>
            </w:r>
          </w:p>
        </w:tc>
        <w:tc>
          <w:tcPr>
            <w:tcW w:w="420" w:type="dxa"/>
            <w:vAlign w:val="bottom"/>
            <w:gridSpan w:val="5"/>
          </w:tcPr>
          <w:p>
            <w:pPr>
              <w:jc w:val="center"/>
              <w:spacing w:after="0"/>
              <w:rPr>
                <w:sz w:val="20"/>
                <w:szCs w:val="20"/>
                <w:color w:val="auto"/>
              </w:rPr>
            </w:pPr>
            <w:r>
              <w:rPr>
                <w:rFonts w:ascii="Arial" w:cs="Arial" w:eastAsia="Arial" w:hAnsi="Arial"/>
                <w:sz w:val="18"/>
                <w:szCs w:val="18"/>
                <w:color w:val="0000FF"/>
                <w:w w:val="99"/>
              </w:rPr>
              <w:t>12</w:t>
            </w:r>
          </w:p>
        </w:tc>
      </w:tr>
      <w:tr>
        <w:trPr>
          <w:trHeight w:val="466"/>
        </w:trPr>
        <w:tc>
          <w:tcPr>
            <w:tcW w:w="10180" w:type="dxa"/>
            <w:vAlign w:val="bottom"/>
          </w:tcPr>
          <w:p>
            <w:pPr>
              <w:spacing w:after="0"/>
              <w:rPr>
                <w:sz w:val="20"/>
                <w:szCs w:val="20"/>
                <w:color w:val="auto"/>
              </w:rPr>
            </w:pPr>
            <w:r>
              <w:rPr>
                <w:rFonts w:ascii="Arial" w:cs="Arial" w:eastAsia="Arial" w:hAnsi="Arial"/>
                <w:sz w:val="18"/>
                <w:szCs w:val="18"/>
                <w:color w:val="auto"/>
              </w:rPr>
              <w:t>*Other schedules required by 29 CFR 220.103-10 of the Department of Labor's Rules &amp; Regulations for Reporting</w:t>
            </w:r>
          </w:p>
        </w:tc>
        <w:tc>
          <w:tcPr>
            <w:tcW w:w="1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10180" w:type="dxa"/>
            <w:vAlign w:val="bottom"/>
          </w:tcPr>
          <w:p>
            <w:pPr>
              <w:spacing w:after="0" w:line="201" w:lineRule="exact"/>
              <w:rPr>
                <w:sz w:val="20"/>
                <w:szCs w:val="20"/>
                <w:color w:val="auto"/>
              </w:rPr>
            </w:pPr>
            <w:r>
              <w:rPr>
                <w:rFonts w:ascii="Arial" w:cs="Arial" w:eastAsia="Arial" w:hAnsi="Arial"/>
                <w:sz w:val="18"/>
                <w:szCs w:val="18"/>
                <w:color w:val="auto"/>
              </w:rPr>
              <w:t>and Disclosure under the Employee Retirement Income Security Act of 1974 have been omitted because they are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60" w:top="890" w:right="9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252525"/>
        </w:rPr>
        <w:t>Report of Independent Registered Public Accounting Firm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252525"/>
        </w:rPr>
        <w:t>To the Plan Administrator and Plan Participants of the Enviri Corporation Savings Plan: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the Enviri Corporation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9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Information</w:t>
      </w:r>
    </w:p>
    <w:p>
      <w:pPr>
        <w:spacing w:after="0" w:line="23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supplemental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2020.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Kingston, 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 w:name="page5"/>
    <w:bookmarkEnd w:id="4"/>
    <w:p>
      <w:pPr>
        <w:jc w:val="center"/>
        <w:spacing w:after="0" w:line="264" w:lineRule="auto"/>
        <w:rPr>
          <w:sz w:val="20"/>
          <w:szCs w:val="20"/>
          <w:color w:val="auto"/>
        </w:rPr>
      </w:pPr>
      <w:r>
        <w:rPr>
          <w:rFonts w:ascii="Arial" w:cs="Arial" w:eastAsia="Arial" w:hAnsi="Arial"/>
          <w:sz w:val="22"/>
          <w:szCs w:val="22"/>
          <w:b w:val="1"/>
          <w:bCs w:val="1"/>
          <w:color w:val="auto"/>
        </w:rPr>
        <w:t>ENVIRI CORPORATION SAVINGS PLAN STATEMENTS OF NET ASSETS AVAILABLE FOR BENEFITS DECEMBER 31,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36"/>
        </w:trPr>
        <w:tc>
          <w:tcPr>
            <w:tcW w:w="7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88,118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78,826</w:t>
            </w: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Plan interest in Master Trust (Note 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r>
      <w:tr>
        <w:trPr>
          <w:trHeight w:val="223"/>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80,390</w:t>
            </w:r>
          </w:p>
        </w:tc>
      </w:tr>
      <w:tr>
        <w:trPr>
          <w:trHeight w:val="257"/>
        </w:trPr>
        <w:tc>
          <w:tcPr>
            <w:tcW w:w="7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Notes receivable from participants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r>
      <w:tr>
        <w:trPr>
          <w:trHeight w:val="223"/>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receivables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50"/>
        </w:trPr>
        <w:tc>
          <w:tcPr>
            <w:tcW w:w="7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4"/>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6"/>
        </w:trPr>
        <w:tc>
          <w:tcPr>
            <w:tcW w:w="9400" w:type="dxa"/>
            <w:vAlign w:val="bottom"/>
            <w:gridSpan w:val="2"/>
          </w:tcPr>
          <w:p>
            <w:pPr>
              <w:ind w:left="3360"/>
              <w:spacing w:after="0"/>
              <w:rPr>
                <w:sz w:val="20"/>
                <w:szCs w:val="20"/>
                <w:color w:val="auto"/>
              </w:rPr>
            </w:pPr>
            <w:r>
              <w:rPr>
                <w:rFonts w:ascii="Arial" w:cs="Arial" w:eastAsia="Arial" w:hAnsi="Arial"/>
                <w:sz w:val="22"/>
                <w:szCs w:val="22"/>
                <w:b w:val="1"/>
                <w:bCs w:val="1"/>
                <w:color w:val="auto"/>
              </w:rPr>
              <w:t>ENVIRI CORPORATION SAVINGS PLAN</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9400" w:type="dxa"/>
            <w:vAlign w:val="bottom"/>
            <w:gridSpan w:val="2"/>
          </w:tcPr>
          <w:p>
            <w:pPr>
              <w:ind w:left="1760"/>
              <w:spacing w:after="0"/>
              <w:rPr>
                <w:sz w:val="20"/>
                <w:szCs w:val="20"/>
                <w:color w:val="auto"/>
              </w:rPr>
            </w:pPr>
            <w:r>
              <w:rPr>
                <w:rFonts w:ascii="Arial" w:cs="Arial" w:eastAsia="Arial" w:hAnsi="Arial"/>
                <w:sz w:val="22"/>
                <w:szCs w:val="22"/>
                <w:b w:val="1"/>
                <w:bCs w:val="1"/>
                <w:color w:val="auto"/>
              </w:rPr>
              <w:t>STATEMENT OF CHANGES IN NET ASSETS AVAILABLE FOR BENEFITS</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97"/>
        </w:trPr>
        <w:tc>
          <w:tcPr>
            <w:tcW w:w="9400" w:type="dxa"/>
            <w:vAlign w:val="bottom"/>
            <w:gridSpan w:val="2"/>
          </w:tcPr>
          <w:p>
            <w:pPr>
              <w:ind w:left="3160"/>
              <w:spacing w:after="0"/>
              <w:rPr>
                <w:sz w:val="20"/>
                <w:szCs w:val="20"/>
                <w:color w:val="auto"/>
              </w:rPr>
            </w:pPr>
            <w:r>
              <w:rPr>
                <w:rFonts w:ascii="Arial" w:cs="Arial" w:eastAsia="Arial" w:hAnsi="Arial"/>
                <w:sz w:val="22"/>
                <w:szCs w:val="22"/>
                <w:b w:val="1"/>
                <w:bCs w:val="1"/>
                <w:color w:val="auto"/>
              </w:rPr>
              <w:t>FOR THE YEAR ENDED DECEMBER 31, 2025</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84"/>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940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Participants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7,985</w:t>
            </w:r>
          </w:p>
        </w:tc>
      </w:tr>
      <w:tr>
        <w:trPr>
          <w:trHeight w:val="230"/>
        </w:trPr>
        <w:tc>
          <w:tcPr>
            <w:tcW w:w="9400" w:type="dxa"/>
            <w:vAlign w:val="bottom"/>
            <w:gridSpan w:val="2"/>
          </w:tcPr>
          <w:p>
            <w:pPr>
              <w:ind w:left="260"/>
              <w:spacing w:after="0"/>
              <w:rPr>
                <w:sz w:val="20"/>
                <w:szCs w:val="20"/>
                <w:color w:val="auto"/>
              </w:rPr>
            </w:pPr>
            <w:r>
              <w:rPr>
                <w:rFonts w:ascii="Arial" w:cs="Arial" w:eastAsia="Arial" w:hAnsi="Arial"/>
                <w:sz w:val="18"/>
                <w:szCs w:val="18"/>
                <w:color w:val="auto"/>
              </w:rPr>
              <w:t>Employer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2,854</w:t>
            </w:r>
          </w:p>
        </w:tc>
      </w:tr>
      <w:tr>
        <w:trPr>
          <w:trHeight w:val="229"/>
        </w:trPr>
        <w:tc>
          <w:tcPr>
            <w:tcW w:w="9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Rollovers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w:t>
            </w:r>
          </w:p>
        </w:tc>
      </w:tr>
      <w:tr>
        <w:trPr>
          <w:trHeight w:val="223"/>
        </w:trPr>
        <w:tc>
          <w:tcPr>
            <w:tcW w:w="9400" w:type="dxa"/>
            <w:vAlign w:val="bottom"/>
            <w:gridSpan w:val="2"/>
          </w:tcPr>
          <w:p>
            <w:pPr>
              <w:ind w:left="380"/>
              <w:spacing w:after="0"/>
              <w:rPr>
                <w:sz w:val="20"/>
                <w:szCs w:val="20"/>
                <w:color w:val="auto"/>
              </w:rPr>
            </w:pPr>
            <w:r>
              <w:rPr>
                <w:rFonts w:ascii="Arial" w:cs="Arial" w:eastAsia="Arial" w:hAnsi="Arial"/>
                <w:sz w:val="18"/>
                <w:szCs w:val="18"/>
                <w:color w:val="auto"/>
              </w:rPr>
              <w:t>Total contributions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11,508</w:t>
            </w:r>
          </w:p>
        </w:tc>
      </w:tr>
      <w:tr>
        <w:trPr>
          <w:trHeight w:val="270"/>
        </w:trPr>
        <w:tc>
          <w:tcPr>
            <w:tcW w:w="9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9400" w:type="dxa"/>
            <w:vAlign w:val="bottom"/>
            <w:gridSpan w:val="2"/>
          </w:tcPr>
          <w:p>
            <w:pPr>
              <w:spacing w:after="0"/>
              <w:rPr>
                <w:sz w:val="20"/>
                <w:szCs w:val="20"/>
                <w:color w:val="auto"/>
              </w:rPr>
            </w:pPr>
            <w:r>
              <w:rPr>
                <w:rFonts w:ascii="Arial" w:cs="Arial" w:eastAsia="Arial" w:hAnsi="Arial"/>
                <w:sz w:val="18"/>
                <w:szCs w:val="18"/>
                <w:color w:val="auto"/>
              </w:rPr>
              <w:t>Interest income on notes receivable from participants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170</w:t>
            </w:r>
          </w:p>
        </w:tc>
      </w:tr>
      <w:tr>
        <w:trPr>
          <w:trHeight w:val="270"/>
        </w:trPr>
        <w:tc>
          <w:tcPr>
            <w:tcW w:w="9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9400" w:type="dxa"/>
            <w:vAlign w:val="bottom"/>
            <w:gridSpan w:val="2"/>
          </w:tcPr>
          <w:p>
            <w:pPr>
              <w:spacing w:after="0"/>
              <w:rPr>
                <w:sz w:val="20"/>
                <w:szCs w:val="20"/>
                <w:color w:val="auto"/>
              </w:rPr>
            </w:pPr>
            <w:r>
              <w:rPr>
                <w:rFonts w:ascii="Arial" w:cs="Arial" w:eastAsia="Arial" w:hAnsi="Arial"/>
                <w:sz w:val="18"/>
                <w:szCs w:val="18"/>
                <w:color w:val="auto"/>
              </w:rPr>
              <w:t>Investment income (loss):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appreciation (depreciation) in fair value of investments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6,752</w:t>
            </w:r>
          </w:p>
        </w:tc>
      </w:tr>
      <w:tr>
        <w:trPr>
          <w:trHeight w:val="229"/>
        </w:trPr>
        <w:tc>
          <w:tcPr>
            <w:tcW w:w="9400" w:type="dxa"/>
            <w:vAlign w:val="bottom"/>
            <w:gridSpan w:val="2"/>
          </w:tcPr>
          <w:p>
            <w:pPr>
              <w:ind w:left="260"/>
              <w:spacing w:after="0"/>
              <w:rPr>
                <w:sz w:val="20"/>
                <w:szCs w:val="20"/>
                <w:color w:val="auto"/>
              </w:rPr>
            </w:pPr>
            <w:r>
              <w:rPr>
                <w:rFonts w:ascii="Arial" w:cs="Arial" w:eastAsia="Arial" w:hAnsi="Arial"/>
                <w:sz w:val="18"/>
                <w:szCs w:val="18"/>
                <w:color w:val="auto"/>
              </w:rPr>
              <w:t>Net appreciation (depreciation) in Plan interest in Master Trust (Note 3)</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1,914</w:t>
            </w:r>
          </w:p>
        </w:tc>
      </w:tr>
      <w:tr>
        <w:trPr>
          <w:trHeight w:val="230"/>
        </w:trPr>
        <w:tc>
          <w:tcPr>
            <w:tcW w:w="9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Dividend income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5,184</w:t>
            </w:r>
          </w:p>
        </w:tc>
      </w:tr>
      <w:tr>
        <w:trPr>
          <w:trHeight w:val="223"/>
        </w:trPr>
        <w:tc>
          <w:tcPr>
            <w:tcW w:w="94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net investment income (loss)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13,850</w:t>
            </w:r>
          </w:p>
        </w:tc>
      </w:tr>
      <w:tr>
        <w:trPr>
          <w:trHeight w:val="250"/>
        </w:trPr>
        <w:tc>
          <w:tcPr>
            <w:tcW w:w="9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9400" w:type="dxa"/>
            <w:vAlign w:val="bottom"/>
            <w:gridSpan w:val="2"/>
          </w:tcPr>
          <w:p>
            <w:pPr>
              <w:ind w:left="340"/>
              <w:spacing w:after="0"/>
              <w:rPr>
                <w:sz w:val="20"/>
                <w:szCs w:val="20"/>
                <w:color w:val="auto"/>
              </w:rPr>
            </w:pPr>
            <w:r>
              <w:rPr>
                <w:rFonts w:ascii="Arial" w:cs="Arial" w:eastAsia="Arial" w:hAnsi="Arial"/>
                <w:sz w:val="18"/>
                <w:szCs w:val="18"/>
                <w:color w:val="auto"/>
              </w:rPr>
              <w:t>Total additions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25,528</w:t>
            </w:r>
          </w:p>
        </w:tc>
      </w:tr>
      <w:tr>
        <w:trPr>
          <w:trHeight w:val="270"/>
        </w:trPr>
        <w:tc>
          <w:tcPr>
            <w:tcW w:w="9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 to participants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12,324</w:t>
            </w:r>
          </w:p>
        </w:tc>
      </w:tr>
      <w:tr>
        <w:trPr>
          <w:trHeight w:val="230"/>
        </w:trPr>
        <w:tc>
          <w:tcPr>
            <w:tcW w:w="9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r>
      <w:tr>
        <w:trPr>
          <w:trHeight w:val="223"/>
        </w:trPr>
        <w:tc>
          <w:tcPr>
            <w:tcW w:w="9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deductions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12,546</w:t>
            </w:r>
          </w:p>
        </w:tc>
      </w:tr>
      <w:tr>
        <w:trPr>
          <w:trHeight w:val="250"/>
        </w:trPr>
        <w:tc>
          <w:tcPr>
            <w:tcW w:w="9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12,982</w:t>
            </w:r>
          </w:p>
        </w:tc>
      </w:tr>
      <w:tr>
        <w:trPr>
          <w:trHeight w:val="270"/>
        </w:trPr>
        <w:tc>
          <w:tcPr>
            <w:tcW w:w="9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in (out) due to employee classification change (Note 1)</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(1,515)</w:t>
            </w:r>
          </w:p>
        </w:tc>
      </w:tr>
      <w:tr>
        <w:trPr>
          <w:trHeight w:val="270"/>
        </w:trPr>
        <w:tc>
          <w:tcPr>
            <w:tcW w:w="9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9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Beginning of Year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82,497</w:t>
            </w:r>
          </w:p>
        </w:tc>
      </w:tr>
      <w:tr>
        <w:trPr>
          <w:trHeight w:val="248"/>
        </w:trPr>
        <w:tc>
          <w:tcPr>
            <w:tcW w:w="9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93,964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financial statements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4" w:right="479" w:bottom="1440" w:gutter="0" w:footer="0" w:header="0"/>
        </w:sectPr>
      </w:pPr>
    </w:p>
    <w:bookmarkStart w:id="6" w:name="page7"/>
    <w:bookmarkEnd w:id="6"/>
    <w:p>
      <w:pPr>
        <w:ind w:left="3752"/>
        <w:spacing w:after="0"/>
        <w:rPr>
          <w:sz w:val="20"/>
          <w:szCs w:val="20"/>
          <w:color w:val="auto"/>
        </w:rPr>
      </w:pPr>
      <w:r>
        <w:rPr>
          <w:rFonts w:ascii="Arial" w:cs="Arial" w:eastAsia="Arial" w:hAnsi="Arial"/>
          <w:sz w:val="20"/>
          <w:szCs w:val="20"/>
          <w:b w:val="1"/>
          <w:bCs w:val="1"/>
          <w:color w:val="auto"/>
        </w:rPr>
        <w:t>ENVIRI CORPORATION SAVINGS PLAN</w:t>
      </w:r>
    </w:p>
    <w:p>
      <w:pPr>
        <w:spacing w:after="0" w:line="33" w:lineRule="exact"/>
        <w:rPr>
          <w:sz w:val="20"/>
          <w:szCs w:val="20"/>
          <w:color w:val="auto"/>
        </w:rPr>
      </w:pPr>
    </w:p>
    <w:p>
      <w:pPr>
        <w:ind w:left="3872"/>
        <w:spacing w:after="0"/>
        <w:rPr>
          <w:sz w:val="20"/>
          <w:szCs w:val="20"/>
          <w:color w:val="auto"/>
        </w:rPr>
      </w:pPr>
      <w:r>
        <w:rPr>
          <w:rFonts w:ascii="Arial" w:cs="Arial" w:eastAsia="Arial" w:hAnsi="Arial"/>
          <w:sz w:val="20"/>
          <w:szCs w:val="20"/>
          <w:b w:val="1"/>
          <w:bCs w:val="1"/>
          <w:color w:val="auto"/>
        </w:rPr>
        <w:t>NOTES TO FINANCIAL STATEMENTS</w:t>
      </w:r>
    </w:p>
    <w:p>
      <w:pPr>
        <w:jc w:val="center"/>
        <w:ind w:right="-31"/>
        <w:spacing w:after="0"/>
        <w:rPr>
          <w:sz w:val="20"/>
          <w:szCs w:val="20"/>
          <w:color w:val="auto"/>
        </w:rPr>
      </w:pPr>
      <w:r>
        <w:rPr>
          <w:rFonts w:ascii="Arial" w:cs="Arial" w:eastAsia="Arial" w:hAnsi="Arial"/>
          <w:sz w:val="20"/>
          <w:szCs w:val="20"/>
          <w:b w:val="1"/>
          <w:bCs w:val="1"/>
          <w:color w:val="auto"/>
        </w:rPr>
        <w:t>December 31, 2025 and 2024</w:t>
      </w:r>
    </w:p>
    <w:p>
      <w:pPr>
        <w:spacing w:after="0" w:line="241" w:lineRule="exact"/>
        <w:rPr>
          <w:sz w:val="20"/>
          <w:szCs w:val="20"/>
          <w:color w:val="auto"/>
        </w:rPr>
      </w:pPr>
    </w:p>
    <w:p>
      <w:pPr>
        <w:ind w:left="352" w:hanging="352"/>
        <w:spacing w:after="0"/>
        <w:tabs>
          <w:tab w:leader="none" w:pos="3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252" w:lineRule="exact"/>
        <w:rPr>
          <w:sz w:val="20"/>
          <w:szCs w:val="20"/>
          <w:color w:val="auto"/>
        </w:rPr>
      </w:pPr>
    </w:p>
    <w:p>
      <w:pPr>
        <w:ind w:left="492" w:right="380"/>
        <w:spacing w:after="0" w:line="268" w:lineRule="auto"/>
        <w:rPr>
          <w:sz w:val="20"/>
          <w:szCs w:val="20"/>
          <w:color w:val="auto"/>
        </w:rPr>
      </w:pPr>
      <w:r>
        <w:rPr>
          <w:rFonts w:ascii="Arial" w:cs="Arial" w:eastAsia="Arial" w:hAnsi="Arial"/>
          <w:sz w:val="18"/>
          <w:szCs w:val="18"/>
          <w:color w:val="auto"/>
        </w:rPr>
        <w:t>The following description of the Enviri Corporation Savings Plan (the "Plan") provides only an abbreviated summary of the general provisions of the Plan. Participants should refer to the Summary Plan Description and the Plan document for a more complete description of the Plan's provisions.</w:t>
      </w:r>
    </w:p>
    <w:p>
      <w:pPr>
        <w:spacing w:after="0" w:line="198"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left="492" w:right="320"/>
        <w:spacing w:after="0" w:line="268" w:lineRule="auto"/>
        <w:rPr>
          <w:sz w:val="20"/>
          <w:szCs w:val="20"/>
          <w:color w:val="auto"/>
        </w:rPr>
      </w:pPr>
      <w:r>
        <w:rPr>
          <w:rFonts w:ascii="Arial" w:cs="Arial" w:eastAsia="Arial" w:hAnsi="Arial"/>
          <w:sz w:val="18"/>
          <w:szCs w:val="18"/>
          <w:color w:val="auto"/>
        </w:rPr>
        <w:t>The Plan is a defined contribution plan providing retirement benefits to eligible employees. The Plan is designed to comply with the requirements of the Employee Retirement Income Security Act of 1974, ("ERISA"), as amended, and with the requirements for qualification under Sections 401(a) and 401(k) of the Internal Revenue Code ("IRC").</w:t>
      </w:r>
    </w:p>
    <w:p>
      <w:pPr>
        <w:spacing w:after="0" w:line="198" w:lineRule="exact"/>
        <w:rPr>
          <w:sz w:val="20"/>
          <w:szCs w:val="20"/>
          <w:color w:val="auto"/>
        </w:rPr>
      </w:pPr>
    </w:p>
    <w:p>
      <w:pPr>
        <w:ind w:left="492" w:right="40"/>
        <w:spacing w:after="0" w:line="262" w:lineRule="auto"/>
        <w:rPr>
          <w:sz w:val="20"/>
          <w:szCs w:val="20"/>
          <w:color w:val="auto"/>
        </w:rPr>
      </w:pPr>
      <w:r>
        <w:rPr>
          <w:rFonts w:ascii="Arial" w:cs="Arial" w:eastAsia="Arial" w:hAnsi="Arial"/>
          <w:sz w:val="18"/>
          <w:szCs w:val="18"/>
          <w:color w:val="auto"/>
        </w:rPr>
        <w:t>All U.S. employees, except those who are eligible to participate in the Enviri Corporation Retirement Savings and Investment Plan (the "RSIP") who are employed by Enviri LLC, the successor to Legacy Enviri following the completion of the Spin-Off, each as defined below, (the "Company") or any subsidiary of either the Company or a subsidiary which adopts the Plan with the approval of the Company, are deemed "Eligible Employees.”</w:t>
      </w:r>
    </w:p>
    <w:p>
      <w:pPr>
        <w:spacing w:after="0" w:line="203" w:lineRule="exact"/>
        <w:rPr>
          <w:sz w:val="20"/>
          <w:szCs w:val="20"/>
          <w:color w:val="auto"/>
        </w:rPr>
      </w:pPr>
    </w:p>
    <w:p>
      <w:pPr>
        <w:ind w:left="492" w:right="180"/>
        <w:spacing w:after="0" w:line="259" w:lineRule="auto"/>
        <w:rPr>
          <w:sz w:val="20"/>
          <w:szCs w:val="20"/>
          <w:color w:val="auto"/>
        </w:rPr>
      </w:pPr>
      <w:r>
        <w:rPr>
          <w:rFonts w:ascii="Arial" w:cs="Arial" w:eastAsia="Arial" w:hAnsi="Arial"/>
          <w:sz w:val="18"/>
          <w:szCs w:val="18"/>
          <w:color w:val="auto"/>
        </w:rPr>
        <w:t>Throughout the year, employees may be transferred to various positions within the Company, which may result in a transfer between various retirement plans sponsored by the Company. Transfers between various Company retirement plans may also occur as Plan amendments are adopted to permit additional or restrict existing groups of Company employees participating in the Plan. These are shown as “Net transfers in (out) due to employee classification change” on the Statement of Changes in Net Assets Available for Benefits.</w:t>
      </w:r>
    </w:p>
    <w:p>
      <w:pPr>
        <w:spacing w:after="0" w:line="206"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Contributions</w:t>
      </w:r>
    </w:p>
    <w:p>
      <w:pPr>
        <w:spacing w:after="0" w:line="252" w:lineRule="exact"/>
        <w:rPr>
          <w:sz w:val="20"/>
          <w:szCs w:val="20"/>
          <w:color w:val="auto"/>
        </w:rPr>
      </w:pPr>
    </w:p>
    <w:p>
      <w:pPr>
        <w:ind w:left="492"/>
        <w:spacing w:after="0" w:line="257" w:lineRule="auto"/>
        <w:rPr>
          <w:sz w:val="20"/>
          <w:szCs w:val="20"/>
          <w:color w:val="auto"/>
        </w:rPr>
      </w:pPr>
      <w:r>
        <w:rPr>
          <w:rFonts w:ascii="Arial" w:cs="Arial" w:eastAsia="Arial" w:hAnsi="Arial"/>
          <w:sz w:val="18"/>
          <w:szCs w:val="18"/>
          <w:color w:val="auto"/>
        </w:rPr>
        <w:t>New Eligible Employees are automatically enrolled in the Plan at a pre-tax savings rate of 3% via payroll deductions, with contributions being directed to a designated target date fund based on the participant's current age and a retirement age of 65. Employees have the option to opt out of this Plan or to contribute an amount different than the automatic contribution amount, and/or to invest in funds other than the Plan's default fund that are available within the Plan investment options. Participants not benefiting from the full employer match will be enrolled in an auto-increase of 1% annually in January until the participant meets the percentage to receive the full employer match. Employees have the option to opt out of this auto-increase.</w:t>
      </w:r>
    </w:p>
    <w:p>
      <w:pPr>
        <w:spacing w:after="0" w:line="209" w:lineRule="exact"/>
        <w:rPr>
          <w:sz w:val="20"/>
          <w:szCs w:val="20"/>
          <w:color w:val="auto"/>
        </w:rPr>
      </w:pPr>
    </w:p>
    <w:p>
      <w:pPr>
        <w:ind w:left="492" w:right="160"/>
        <w:spacing w:after="0" w:line="257" w:lineRule="auto"/>
        <w:rPr>
          <w:sz w:val="20"/>
          <w:szCs w:val="20"/>
          <w:color w:val="auto"/>
        </w:rPr>
      </w:pPr>
      <w:r>
        <w:rPr>
          <w:rFonts w:ascii="Arial" w:cs="Arial" w:eastAsia="Arial" w:hAnsi="Arial"/>
          <w:sz w:val="18"/>
          <w:szCs w:val="18"/>
          <w:color w:val="auto"/>
        </w:rPr>
        <w:t>Participants may contribute up to 75% of their annual compensation received as an employee, as defined in the Plan and subject to IRC limitations. Participant contributions may be made on a pretax basis, or participants may elect to make contributions on an after-tax basis or on an after-tax "Roth" basis, subject to limitations outlined in the Plan. Participants who are at least age 50 may make an additional "catch-up" contribution subject to IRC limitations. Participants may also contribute funds from another qualified retirement plan ("rollover" contributions), subject to certain requirements. The Company makes matching contributions equal to 50% of the first 6% of a participant's contributions.</w:t>
      </w:r>
    </w:p>
    <w:p>
      <w:pPr>
        <w:spacing w:after="0" w:line="209" w:lineRule="exact"/>
        <w:rPr>
          <w:sz w:val="20"/>
          <w:szCs w:val="20"/>
          <w:color w:val="auto"/>
        </w:rPr>
      </w:pPr>
    </w:p>
    <w:p>
      <w:pPr>
        <w:jc w:val="both"/>
        <w:ind w:left="492"/>
        <w:spacing w:after="0" w:line="262" w:lineRule="auto"/>
        <w:rPr>
          <w:sz w:val="20"/>
          <w:szCs w:val="20"/>
          <w:color w:val="auto"/>
        </w:rPr>
      </w:pPr>
      <w:r>
        <w:rPr>
          <w:rFonts w:ascii="Arial" w:cs="Arial" w:eastAsia="Arial" w:hAnsi="Arial"/>
          <w:sz w:val="18"/>
          <w:szCs w:val="18"/>
          <w:color w:val="auto"/>
        </w:rPr>
        <w:t>The Company may also make discretionary contributions, also referred to as profit sharing contributions, to the Plan under agreements with certain employee bargaining groups. These contributions may be based on a percentage of employee earnings or a fixed amount per hour worked by the employee. The Company makes annual contributions based on certain union agreement requirements. For the Plan year ended December 31, 2025, the Company made a profit sharing contribution of $24 thousand.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885" w:right="379" w:bottom="1440" w:gutter="0" w:footer="0" w:header="0"/>
        </w:sectPr>
      </w:pPr>
    </w:p>
    <w:bookmarkStart w:id="7" w:name="page8"/>
    <w:bookmarkEnd w:id="7"/>
    <w:p>
      <w:pPr>
        <w:ind w:left="492"/>
        <w:spacing w:after="0"/>
        <w:rPr>
          <w:sz w:val="20"/>
          <w:szCs w:val="20"/>
          <w:color w:val="auto"/>
        </w:rPr>
      </w:pPr>
      <w:r>
        <w:rPr>
          <w:rFonts w:ascii="Arial" w:cs="Arial" w:eastAsia="Arial" w:hAnsi="Arial"/>
          <w:sz w:val="18"/>
          <w:szCs w:val="18"/>
          <w:b w:val="1"/>
          <w:bCs w:val="1"/>
          <w:color w:val="auto"/>
        </w:rPr>
        <w:t>Participant Accounts</w:t>
      </w:r>
    </w:p>
    <w:p>
      <w:pPr>
        <w:spacing w:after="0" w:line="252" w:lineRule="exact"/>
        <w:rPr>
          <w:sz w:val="20"/>
          <w:szCs w:val="20"/>
          <w:color w:val="auto"/>
        </w:rPr>
      </w:pPr>
    </w:p>
    <w:p>
      <w:pPr>
        <w:ind w:left="492" w:right="20"/>
        <w:spacing w:after="0" w:line="262" w:lineRule="auto"/>
        <w:rPr>
          <w:sz w:val="20"/>
          <w:szCs w:val="20"/>
          <w:color w:val="auto"/>
        </w:rPr>
      </w:pPr>
      <w:r>
        <w:rPr>
          <w:rFonts w:ascii="Arial" w:cs="Arial" w:eastAsia="Arial" w:hAnsi="Arial"/>
          <w:sz w:val="18"/>
          <w:szCs w:val="18"/>
          <w:color w:val="auto"/>
        </w:rPr>
        <w:t>Each participant's account is credited with the participant's contributions, employer matching contributions and profit sharing contributions, as well as Plan earnings. Participant accounts are charged with an allocation of administrative expenses that are paid by the Plan. Allocations are based on participant earnings, account balances, or specific transactions, as defined in the Plan document. The benefit to which a participant is entitled is the benefit that can be provided from the participant's vested account.</w:t>
      </w:r>
    </w:p>
    <w:p>
      <w:pPr>
        <w:spacing w:after="0" w:line="203"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Vesting</w:t>
      </w:r>
    </w:p>
    <w:p>
      <w:pPr>
        <w:spacing w:after="0" w:line="252" w:lineRule="exact"/>
        <w:rPr>
          <w:sz w:val="20"/>
          <w:szCs w:val="20"/>
          <w:color w:val="auto"/>
        </w:rPr>
      </w:pPr>
    </w:p>
    <w:p>
      <w:pPr>
        <w:ind w:left="492" w:right="60"/>
        <w:spacing w:after="0" w:line="318" w:lineRule="auto"/>
        <w:rPr>
          <w:sz w:val="20"/>
          <w:szCs w:val="20"/>
          <w:color w:val="auto"/>
        </w:rPr>
      </w:pPr>
      <w:r>
        <w:rPr>
          <w:rFonts w:ascii="Arial" w:cs="Arial" w:eastAsia="Arial" w:hAnsi="Arial"/>
          <w:sz w:val="17"/>
          <w:szCs w:val="17"/>
          <w:color w:val="auto"/>
        </w:rPr>
        <w:t>Participants are immediately vested in their contributions, plus actual earnings thereon. The participants are 100% vested upon death, disability or the attainment of normal retirement age. Contributions made by the Company vest on a pro-rata basis over three years.</w:t>
      </w:r>
    </w:p>
    <w:p>
      <w:pPr>
        <w:spacing w:after="0" w:line="157" w:lineRule="exact"/>
        <w:rPr>
          <w:sz w:val="20"/>
          <w:szCs w:val="20"/>
          <w:color w:val="auto"/>
        </w:rPr>
      </w:pPr>
    </w:p>
    <w:p>
      <w:pPr>
        <w:ind w:left="492" w:right="200"/>
        <w:spacing w:after="0" w:line="318" w:lineRule="auto"/>
        <w:rPr>
          <w:sz w:val="20"/>
          <w:szCs w:val="20"/>
          <w:color w:val="auto"/>
        </w:rPr>
      </w:pPr>
      <w:r>
        <w:rPr>
          <w:rFonts w:ascii="Arial" w:cs="Arial" w:eastAsia="Arial" w:hAnsi="Arial"/>
          <w:sz w:val="17"/>
          <w:szCs w:val="17"/>
          <w:color w:val="auto"/>
        </w:rPr>
        <w:t>Prior to January 1, 2024, employer matching contributions were subject to a three year cliff vesting schedule and employer matching contributions made previously through December 31, 2023 will continue to vest under the three-year cliff vesting schedule.</w:t>
      </w:r>
    </w:p>
    <w:p>
      <w:pPr>
        <w:spacing w:after="0" w:line="157"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Notes Receivable from Participants</w:t>
      </w:r>
    </w:p>
    <w:p>
      <w:pPr>
        <w:spacing w:after="0" w:line="252" w:lineRule="exact"/>
        <w:rPr>
          <w:sz w:val="20"/>
          <w:szCs w:val="20"/>
          <w:color w:val="auto"/>
        </w:rPr>
      </w:pPr>
    </w:p>
    <w:p>
      <w:pPr>
        <w:ind w:left="492"/>
        <w:spacing w:after="0" w:line="256" w:lineRule="auto"/>
        <w:rPr>
          <w:sz w:val="20"/>
          <w:szCs w:val="20"/>
          <w:color w:val="auto"/>
        </w:rPr>
      </w:pPr>
      <w:r>
        <w:rPr>
          <w:rFonts w:ascii="Arial" w:cs="Arial" w:eastAsia="Arial" w:hAnsi="Arial"/>
          <w:sz w:val="18"/>
          <w:szCs w:val="18"/>
          <w:color w:val="auto"/>
        </w:rPr>
        <w:t>Participants may borrow from their fund accounts a minimum of $500 to a maximum of 50% of their vested account balance, not to exceed $50 thousand. A loan is collateralized by the balance in the participant's account and bears interest at a rate commensurate with local prevailing rates as determined periodically by the Plan Administrator. The participant may choose the loan repayment period, not to exceed five years. However, the term may be for any period not to exceed 15 years if the purpose of the loan is to acquire the participant's principal residence. No more than one loan may be outstanding at any time. Interest rates on outstanding loans, based on the prime rate plus one percent, ranged from 4.25% to 9.50% at December 31, 2025, with maturity dates ranging from 2026 to 2040. Principal and interest is paid ratably through payroll deductions.</w:t>
      </w:r>
    </w:p>
    <w:p>
      <w:pPr>
        <w:spacing w:after="0" w:line="210"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Payment of Benefits</w:t>
      </w:r>
    </w:p>
    <w:p>
      <w:pPr>
        <w:spacing w:after="0" w:line="252" w:lineRule="exact"/>
        <w:rPr>
          <w:sz w:val="20"/>
          <w:szCs w:val="20"/>
          <w:color w:val="auto"/>
        </w:rPr>
      </w:pPr>
    </w:p>
    <w:p>
      <w:pPr>
        <w:jc w:val="both"/>
        <w:ind w:left="492" w:right="240"/>
        <w:spacing w:after="0" w:line="268" w:lineRule="auto"/>
        <w:rPr>
          <w:sz w:val="20"/>
          <w:szCs w:val="20"/>
          <w:color w:val="auto"/>
        </w:rPr>
      </w:pPr>
      <w:r>
        <w:rPr>
          <w:rFonts w:ascii="Arial" w:cs="Arial" w:eastAsia="Arial" w:hAnsi="Arial"/>
          <w:sz w:val="18"/>
          <w:szCs w:val="18"/>
          <w:color w:val="auto"/>
        </w:rPr>
        <w:t>On termination of service, a participant or beneficiary may receive payments based on their election of one of three options: a lump-sum amount equal to the value of the participant's vested interest in their account; a portion paid in a lump-sum, and the remainder paid later; or over annual installments, not to exceed more than 15 years.</w:t>
      </w:r>
    </w:p>
    <w:p>
      <w:pPr>
        <w:spacing w:after="0" w:line="198" w:lineRule="exact"/>
        <w:rPr>
          <w:sz w:val="20"/>
          <w:szCs w:val="20"/>
          <w:color w:val="auto"/>
        </w:rPr>
      </w:pPr>
    </w:p>
    <w:p>
      <w:pPr>
        <w:jc w:val="both"/>
        <w:ind w:left="492" w:right="580"/>
        <w:spacing w:after="0" w:line="268" w:lineRule="auto"/>
        <w:rPr>
          <w:sz w:val="20"/>
          <w:szCs w:val="20"/>
          <w:color w:val="auto"/>
        </w:rPr>
      </w:pPr>
      <w:r>
        <w:rPr>
          <w:rFonts w:ascii="Arial" w:cs="Arial" w:eastAsia="Arial" w:hAnsi="Arial"/>
          <w:sz w:val="18"/>
          <w:szCs w:val="18"/>
          <w:color w:val="auto"/>
        </w:rPr>
        <w:t>A participant may also request a withdrawal upon attainment of age 59 1/2 or upon demonstration by the participant to the Plan Administrator that the participant is suffering from "hardship," as defined in the Plan document. A participant may also request a withdrawal from after-tax and rollover funds at any time.</w:t>
      </w:r>
    </w:p>
    <w:p>
      <w:pPr>
        <w:spacing w:after="0" w:line="198" w:lineRule="exact"/>
        <w:rPr>
          <w:sz w:val="20"/>
          <w:szCs w:val="20"/>
          <w:color w:val="auto"/>
        </w:rPr>
      </w:pPr>
    </w:p>
    <w:p>
      <w:pPr>
        <w:ind w:left="352" w:hanging="352"/>
        <w:spacing w:after="0"/>
        <w:tabs>
          <w:tab w:leader="none" w:pos="3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Basis of Accounting</w:t>
      </w:r>
    </w:p>
    <w:p>
      <w:pPr>
        <w:spacing w:after="0" w:line="252" w:lineRule="exact"/>
        <w:rPr>
          <w:sz w:val="20"/>
          <w:szCs w:val="20"/>
          <w:color w:val="auto"/>
        </w:rPr>
      </w:pPr>
    </w:p>
    <w:p>
      <w:pPr>
        <w:ind w:left="492" w:right="560"/>
        <w:spacing w:after="0" w:line="287" w:lineRule="auto"/>
        <w:rPr>
          <w:sz w:val="20"/>
          <w:szCs w:val="20"/>
          <w:color w:val="auto"/>
        </w:rPr>
      </w:pPr>
      <w:r>
        <w:rPr>
          <w:rFonts w:ascii="Arial" w:cs="Arial" w:eastAsia="Arial" w:hAnsi="Arial"/>
          <w:sz w:val="18"/>
          <w:szCs w:val="18"/>
          <w:color w:val="auto"/>
        </w:rPr>
        <w:t>The financial statements of the Plan are prepared under the accrual basis of accounting in conformity with accounting principles generally accepted in the United States of America ("U.S. GAAP").</w:t>
      </w:r>
    </w:p>
    <w:p>
      <w:pPr>
        <w:spacing w:after="0" w:line="180"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Administration</w:t>
      </w:r>
    </w:p>
    <w:p>
      <w:pPr>
        <w:spacing w:after="0" w:line="252" w:lineRule="exact"/>
        <w:rPr>
          <w:sz w:val="20"/>
          <w:szCs w:val="20"/>
          <w:color w:val="auto"/>
        </w:rPr>
      </w:pPr>
    </w:p>
    <w:p>
      <w:pPr>
        <w:ind w:left="492" w:right="180"/>
        <w:spacing w:after="0" w:line="262" w:lineRule="auto"/>
        <w:rPr>
          <w:sz w:val="20"/>
          <w:szCs w:val="20"/>
          <w:color w:val="auto"/>
        </w:rPr>
      </w:pPr>
      <w:r>
        <w:rPr>
          <w:rFonts w:ascii="Arial" w:cs="Arial" w:eastAsia="Arial" w:hAnsi="Arial"/>
          <w:sz w:val="18"/>
          <w:szCs w:val="18"/>
          <w:color w:val="auto"/>
        </w:rPr>
        <w:t>Plan participants pay investment management, recordkeeping and audit fees related to maintaining the Plan as a whole. Loan setup fees and withdrawal fees are paid by the participant. Purchases and sales of common stock held by the Master Trust (as defined below) are assessed a commission, which is paid by the participant, at $0.02 per share. Investment related expenses are included in Net appreciation (depreciation) in fair value of investments on the 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890"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Investments are reported at fair value, which is the price that would be received to sell an asset or paid to transfer a liability in an orderly transaction between market participants at the measurement date (an exit price).The Plan's Investment Committee determines the Plan's investment options utilizing information provided by the investment advisers and custodians. See Note 4, Fair Value Measurements.</w:t>
      </w:r>
    </w:p>
    <w:p>
      <w:pPr>
        <w:spacing w:after="0" w:line="20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Purchases and sales of investments are recorded on a trade-date basis. Dividend income is recorded on the ex-dividend date. Net appreciation (depreciation) in the fair value of investments includes the Plan's gains and losses on investments bought and sold, as well as unrealized gain and losses on investments held at year-end.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 are recorded in the year in which they are withheld from compensation.</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Employer matching contributions are recorded in the same year that the related participant contribution is recorded. Profit sharing contributions are typically recorded as Receivables from employer contributions due to the timing difference in determining the annual amount to be paid.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 to participants are recorded when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additions and deductions during the reporting period. Actual results could differ from those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Forfeitures</w:t>
      </w:r>
    </w:p>
    <w:p>
      <w:pPr>
        <w:spacing w:after="0" w:line="2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Forfeitures, which are a result of participant withdrawals prior to their full vesting in the Plan, are used to reduce the amount of future employer contributions, pay plan expenses or restore accounts, as directed by the Plan Administrator. In 2025, $339 thousand of forfeitures were used to offset employer contributions and $35 thousand of forfeitures were used to pay Plan expenses. Unallocated forfeitures at December 31, 2025 and 2024 were $147 thousand and $133 thousand,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November 20, 2025, Enviri Corporation (“Legacy Enviri”) entered into definitive agreements with Veolia Environnement S.A. (“Veolia”), to (i) sell Legacy Enviri’s “Clean Earth” business (the “Clean Earth Business”), and (ii) distribute Legacy Enviri’s “Harsco Environmental” and “Rail” businesses (together, the “New Enviri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20" w:top="890" w:right="439" w:bottom="1440" w:gutter="0" w:footer="0" w:header="0"/>
        </w:sectPr>
      </w:pPr>
    </w:p>
    <w:bookmarkStart w:id="9" w:name="page10"/>
    <w:bookmarkEnd w:id="9"/>
    <w:p>
      <w:pPr>
        <w:ind w:left="492" w:right="40"/>
        <w:spacing w:after="0" w:line="268" w:lineRule="auto"/>
        <w:rPr>
          <w:sz w:val="20"/>
          <w:szCs w:val="20"/>
          <w:color w:val="auto"/>
        </w:rPr>
      </w:pPr>
      <w:r>
        <w:rPr>
          <w:rFonts w:ascii="Arial" w:cs="Arial" w:eastAsia="Arial" w:hAnsi="Arial"/>
          <w:sz w:val="17"/>
          <w:szCs w:val="17"/>
          <w:color w:val="auto"/>
        </w:rPr>
        <w:t>On June 1, 2026, pursuant to the terms of a Separation Agreement, dated as of November 20, 2025 (the “Separation Agreement”), by and among Legacy Enviri, CLEH, Inc. (“CLEH”), the Company, which, prior to the Reorganization (as defined below), was a direct, wholly owned subsidiary of CLEH, Veolia, and Enviri II Corporation (“New Enviri”), which, prior to the Holding Company Merger (as defined below), was a direct, wholly owned subsidiary of Legacy Enviri, the following transactions occurred: (i) Legacy Enviri merged with and into the Company, with the Company as the surviving entity (the “Holding Company Merger”); (ii) CLEH and its subsidiaries, including the Company and New Enviri, effected a reorganization (the “Reorganization”) resulting in (a) CLEH holding the Clean Earth Business, (b) New Enviri owning all of the equity interests of the Company, and (c) the Company holding the New Enviri Business; and</w:t>
      </w:r>
    </w:p>
    <w:p>
      <w:pPr>
        <w:spacing w:after="0" w:line="2" w:lineRule="exact"/>
        <w:rPr>
          <w:sz w:val="20"/>
          <w:szCs w:val="20"/>
          <w:color w:val="auto"/>
        </w:rPr>
      </w:pPr>
    </w:p>
    <w:p>
      <w:pPr>
        <w:ind w:left="492" w:right="460" w:hanging="6"/>
        <w:spacing w:after="0" w:line="266" w:lineRule="auto"/>
        <w:tabs>
          <w:tab w:leader="none" w:pos="782" w:val="left"/>
        </w:tabs>
        <w:numPr>
          <w:ilvl w:val="0"/>
          <w:numId w:val="5"/>
        </w:numPr>
        <w:rPr>
          <w:rFonts w:ascii="Arial" w:cs="Arial" w:eastAsia="Arial" w:hAnsi="Arial"/>
          <w:sz w:val="18"/>
          <w:szCs w:val="18"/>
          <w:color w:val="auto"/>
        </w:rPr>
      </w:pPr>
      <w:r>
        <w:rPr>
          <w:rFonts w:ascii="Arial" w:cs="Arial" w:eastAsia="Arial" w:hAnsi="Arial"/>
          <w:sz w:val="18"/>
          <w:szCs w:val="18"/>
          <w:color w:val="auto"/>
        </w:rPr>
        <w:t>CLEH distributed all of the outstanding shares of New Enviri common stock to the stockholders of CLEH, including the Master Trust, on a pro rata basis (the “Distribution” and, together with the Reorganization, the “Spin-Off”).</w:t>
      </w:r>
    </w:p>
    <w:p>
      <w:pPr>
        <w:spacing w:after="0" w:line="198" w:lineRule="exact"/>
        <w:rPr>
          <w:sz w:val="20"/>
          <w:szCs w:val="20"/>
          <w:color w:val="auto"/>
        </w:rPr>
      </w:pPr>
    </w:p>
    <w:p>
      <w:pPr>
        <w:ind w:left="492"/>
        <w:spacing w:after="0" w:line="268" w:lineRule="auto"/>
        <w:rPr>
          <w:sz w:val="20"/>
          <w:szCs w:val="20"/>
          <w:color w:val="auto"/>
        </w:rPr>
      </w:pPr>
      <w:r>
        <w:rPr>
          <w:rFonts w:ascii="Arial" w:cs="Arial" w:eastAsia="Arial" w:hAnsi="Arial"/>
          <w:sz w:val="18"/>
          <w:szCs w:val="18"/>
          <w:color w:val="auto"/>
        </w:rPr>
        <w:t>Immediately following the Spin-Off, CLEH merged with a merger subsidiary of Veolia, with CLEH surviving as an indirect, wholly owned subsidiary of Veolia. Stockholders of CLEH, including the Master Trust, received cash in exchange for the cancellation of their shares of CLEH common stock. Shortly thereafter, New Enviri changed its name from “Enviri II Corporation” to “Enviri Corporation.”</w:t>
      </w:r>
    </w:p>
    <w:p>
      <w:pPr>
        <w:spacing w:after="0" w:line="198" w:lineRule="exact"/>
        <w:rPr>
          <w:sz w:val="20"/>
          <w:szCs w:val="20"/>
          <w:color w:val="auto"/>
        </w:rPr>
      </w:pPr>
    </w:p>
    <w:p>
      <w:pPr>
        <w:ind w:left="492" w:right="180"/>
        <w:spacing w:after="0" w:line="262" w:lineRule="auto"/>
        <w:rPr>
          <w:sz w:val="20"/>
          <w:szCs w:val="20"/>
          <w:color w:val="auto"/>
        </w:rPr>
      </w:pPr>
      <w:r>
        <w:rPr>
          <w:rFonts w:ascii="Arial" w:cs="Arial" w:eastAsia="Arial" w:hAnsi="Arial"/>
          <w:sz w:val="18"/>
          <w:szCs w:val="18"/>
          <w:color w:val="auto"/>
        </w:rPr>
        <w:t>Following the completion of the transactions described above, the Company, as the successor to Legacy Enviri and a wholly owned subsidiary of New Enviri, a new publicly traded corporation listed on the New York Stock Exchange, will continue to operate the Plan. The common stock held by the Master Trust will, however, consist of New Enviri common stock rather than Legacy Enviri common stock as a result of the Holding Company Merger and the Spin-Off.</w:t>
      </w:r>
    </w:p>
    <w:p>
      <w:pPr>
        <w:spacing w:after="0" w:line="203" w:lineRule="exact"/>
        <w:rPr>
          <w:sz w:val="20"/>
          <w:szCs w:val="20"/>
          <w:color w:val="auto"/>
        </w:rPr>
      </w:pPr>
    </w:p>
    <w:p>
      <w:pPr>
        <w:ind w:left="492" w:right="720"/>
        <w:spacing w:after="0" w:line="287" w:lineRule="auto"/>
        <w:rPr>
          <w:sz w:val="20"/>
          <w:szCs w:val="20"/>
          <w:color w:val="auto"/>
        </w:rPr>
      </w:pPr>
      <w:r>
        <w:rPr>
          <w:rFonts w:ascii="Arial" w:cs="Arial" w:eastAsia="Arial" w:hAnsi="Arial"/>
          <w:sz w:val="18"/>
          <w:szCs w:val="18"/>
          <w:color w:val="auto"/>
        </w:rPr>
        <w:t>In addition, as a result of the Separation Agreement, a participant who is a Clean Earth employee became 100% vested in the participant's account balance upon completion of the transactions described above.</w:t>
      </w:r>
    </w:p>
    <w:p>
      <w:pPr>
        <w:spacing w:after="0" w:line="180" w:lineRule="exact"/>
        <w:rPr>
          <w:sz w:val="20"/>
          <w:szCs w:val="20"/>
          <w:color w:val="auto"/>
        </w:rPr>
      </w:pPr>
    </w:p>
    <w:p>
      <w:pPr>
        <w:ind w:left="352" w:hanging="352"/>
        <w:spacing w:after="0"/>
        <w:tabs>
          <w:tab w:leader="none" w:pos="3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w:t>
      </w:r>
    </w:p>
    <w:p>
      <w:pPr>
        <w:spacing w:after="0" w:line="252" w:lineRule="exact"/>
        <w:rPr>
          <w:sz w:val="20"/>
          <w:szCs w:val="20"/>
          <w:color w:val="auto"/>
        </w:rPr>
      </w:pPr>
    </w:p>
    <w:p>
      <w:pPr>
        <w:ind w:left="492"/>
        <w:spacing w:after="0" w:line="255" w:lineRule="auto"/>
        <w:rPr>
          <w:sz w:val="20"/>
          <w:szCs w:val="20"/>
          <w:color w:val="auto"/>
        </w:rPr>
      </w:pPr>
      <w:r>
        <w:rPr>
          <w:rFonts w:ascii="Arial" w:cs="Arial" w:eastAsia="Arial" w:hAnsi="Arial"/>
          <w:sz w:val="18"/>
          <w:szCs w:val="18"/>
          <w:color w:val="auto"/>
        </w:rPr>
        <w:t>A portion of the Plan's investments are in a Stock Fund (the "Master Trust"), which was established by Legacy Enviri for the investment of assets of the Plan and another retirement plan sponsored by Legacy Enviri. Each participating retirement plan has an undivided interest in the Master Trust. The assets of the Master Trust are held by the trustee, custodian and recordkeeper, Principal Bank, a subsidiary of Principal Financial Group. The value of the Plan's interest in the Master Trust is based on the beginning of the year value of the Plan's interest in the Master Trust, plus actual contributions received and allocated investment income (losses) recognized during the year, less actual distributions and allocated administrative expenses paid during the year. At December 31, 2025 and 2024, the Plan's interest in the net assets of the Master Trust was 37.01% and 36.40%, respectively. Net investment income (loss) and administrative expenses relating to the Master Trust are allocated to the individual plans based upon the amount of time each of the plan's assets were invested in the Master Trust.</w:t>
      </w:r>
    </w:p>
    <w:p>
      <w:pPr>
        <w:spacing w:after="0" w:line="208"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 following table presents the net assets in the Master Trust.</w:t>
      </w:r>
    </w:p>
    <w:p>
      <w:pPr>
        <w:spacing w:after="0" w:line="293" w:lineRule="exact"/>
        <w:rPr>
          <w:sz w:val="20"/>
          <w:szCs w:val="20"/>
          <w:color w:val="auto"/>
        </w:rPr>
      </w:pPr>
    </w:p>
    <w:tbl>
      <w:tblPr>
        <w:tblLayout w:type="fixed"/>
        <w:tblInd w:w="532" w:type="dxa"/>
        <w:tblCellMar>
          <w:top w:w="0" w:type="dxa"/>
          <w:left w:w="0" w:type="dxa"/>
          <w:bottom w:w="0" w:type="dxa"/>
          <w:right w:w="0" w:type="dxa"/>
        </w:tblCellMar>
      </w:tblPr>
      <w:tr>
        <w:trPr>
          <w:trHeight w:val="235"/>
        </w:trPr>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 2025</w:t>
            </w:r>
          </w:p>
        </w:tc>
        <w:tc>
          <w:tcPr>
            <w:tcW w:w="300" w:type="dxa"/>
            <w:vAlign w:val="bottom"/>
          </w:tcPr>
          <w:p>
            <w:pPr>
              <w:spacing w:after="0"/>
              <w:rPr>
                <w:sz w:val="20"/>
                <w:szCs w:val="20"/>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Plan</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Master Trust</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Plan</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Master Trust</w:t>
            </w: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Legacy Enviri common stock</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Money market mutual fund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changes in net assets of the Master Trust for the year ended December 31, 2025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bookmarkStart w:id="10" w:name="page11"/>
    <w:bookmarkEnd w:id="10"/>
    <w:tbl>
      <w:tblPr>
        <w:tblLayout w:type="fixed"/>
        <w:tblInd w:w="532" w:type="dxa"/>
        <w:tblCellMar>
          <w:top w:w="0" w:type="dxa"/>
          <w:left w:w="0" w:type="dxa"/>
          <w:bottom w:w="0" w:type="dxa"/>
          <w:right w:w="0" w:type="dxa"/>
        </w:tblCellMar>
      </w:tblPr>
      <w:tr>
        <w:trPr>
          <w:trHeight w:val="235"/>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Plan</w:t>
            </w:r>
          </w:p>
        </w:tc>
        <w:tc>
          <w:tcPr>
            <w:tcW w:w="1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Master Trust</w:t>
            </w:r>
          </w:p>
        </w:tc>
      </w:tr>
      <w:tr>
        <w:trPr>
          <w:trHeight w:val="223"/>
        </w:trPr>
        <w:tc>
          <w:tcPr>
            <w:tcW w:w="71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 (loss)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5,318</w:t>
            </w:r>
          </w:p>
        </w:tc>
      </w:tr>
      <w:tr>
        <w:trPr>
          <w:trHeight w:val="229"/>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transfers in (out)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w:t>
            </w:r>
          </w:p>
        </w:tc>
      </w:tr>
      <w:tr>
        <w:trPr>
          <w:trHeight w:val="22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4,814</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Net assets: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4,297</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9,111</w:t>
            </w:r>
          </w:p>
        </w:tc>
      </w:tr>
      <w:tr>
        <w:trPr>
          <w:trHeight w:val="21"/>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12" w:right="20"/>
        <w:spacing w:after="0" w:line="268" w:lineRule="auto"/>
        <w:rPr>
          <w:sz w:val="20"/>
          <w:szCs w:val="20"/>
          <w:color w:val="auto"/>
        </w:rPr>
      </w:pPr>
      <w:r>
        <w:rPr>
          <w:rFonts w:ascii="Arial" w:cs="Arial" w:eastAsia="Arial" w:hAnsi="Arial"/>
          <w:sz w:val="18"/>
          <w:szCs w:val="18"/>
          <w:color w:val="auto"/>
        </w:rPr>
        <w:t>At December 31, 2025 and 2024, all assets of the Master Trust are classified within Level 1 of the fair value hierarchy discussed in Note 4, due to the fact that the inputs to the valuation methodology are unadjusted quoted prices for identical assets or liabilities in active markets that the Plan has the ability to access.</w:t>
      </w:r>
    </w:p>
    <w:p>
      <w:pPr>
        <w:spacing w:after="0" w:line="198" w:lineRule="exact"/>
        <w:rPr>
          <w:sz w:val="20"/>
          <w:szCs w:val="20"/>
          <w:color w:val="auto"/>
        </w:rPr>
      </w:pPr>
    </w:p>
    <w:p>
      <w:pPr>
        <w:ind w:left="352" w:hanging="352"/>
        <w:spacing w:after="0"/>
        <w:tabs>
          <w:tab w:leader="none" w:pos="3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2" w:lineRule="exact"/>
        <w:rPr>
          <w:sz w:val="20"/>
          <w:szCs w:val="20"/>
          <w:color w:val="auto"/>
        </w:rPr>
      </w:pPr>
    </w:p>
    <w:p>
      <w:pPr>
        <w:ind w:left="492" w:right="60"/>
        <w:spacing w:after="0" w:line="262" w:lineRule="auto"/>
        <w:rPr>
          <w:sz w:val="20"/>
          <w:szCs w:val="20"/>
          <w:color w:val="auto"/>
        </w:rPr>
      </w:pPr>
      <w:r>
        <w:rPr>
          <w:rFonts w:ascii="Arial" w:cs="Arial" w:eastAsia="Arial" w:hAnsi="Arial"/>
          <w:sz w:val="18"/>
          <w:szCs w:val="18"/>
          <w:color w:val="auto"/>
        </w:rPr>
        <w:t>The fair value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3" w:lineRule="exact"/>
        <w:rPr>
          <w:sz w:val="20"/>
          <w:szCs w:val="20"/>
          <w:color w:val="auto"/>
        </w:rPr>
      </w:pPr>
    </w:p>
    <w:p>
      <w:pPr>
        <w:ind w:left="1292" w:right="40" w:hanging="647"/>
        <w:spacing w:after="0" w:line="287" w:lineRule="auto"/>
        <w:tabs>
          <w:tab w:leader="none" w:pos="1272"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Plan has the ability to access.</w:t>
      </w:r>
    </w:p>
    <w:p>
      <w:pPr>
        <w:spacing w:after="0" w:line="180" w:lineRule="exact"/>
        <w:rPr>
          <w:sz w:val="20"/>
          <w:szCs w:val="20"/>
          <w:color w:val="auto"/>
        </w:rPr>
      </w:pPr>
    </w:p>
    <w:p>
      <w:pPr>
        <w:ind w:left="652"/>
        <w:spacing w:after="0"/>
        <w:tabs>
          <w:tab w:leader="none" w:pos="1412"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to the valuation methodology include:</w:t>
      </w:r>
    </w:p>
    <w:p>
      <w:pPr>
        <w:spacing w:after="0" w:line="252" w:lineRule="exact"/>
        <w:rPr>
          <w:sz w:val="20"/>
          <w:szCs w:val="20"/>
          <w:color w:val="auto"/>
        </w:rPr>
      </w:pPr>
    </w:p>
    <w:p>
      <w:pPr>
        <w:ind w:left="1932" w:hanging="636"/>
        <w:spacing w:after="0"/>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7" w:lineRule="exact"/>
        <w:rPr>
          <w:rFonts w:ascii="Arial" w:cs="Arial" w:eastAsia="Arial" w:hAnsi="Arial"/>
          <w:sz w:val="18"/>
          <w:szCs w:val="18"/>
          <w:color w:val="auto"/>
        </w:rPr>
      </w:pPr>
    </w:p>
    <w:p>
      <w:pPr>
        <w:ind w:left="1932" w:hanging="636"/>
        <w:spacing w:after="0"/>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932" w:hanging="636"/>
        <w:spacing w:after="0"/>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rFonts w:ascii="Arial" w:cs="Arial" w:eastAsia="Arial" w:hAnsi="Arial"/>
          <w:sz w:val="18"/>
          <w:szCs w:val="18"/>
          <w:color w:val="auto"/>
        </w:rPr>
      </w:pPr>
    </w:p>
    <w:p>
      <w:pPr>
        <w:ind w:left="1932" w:hanging="636"/>
        <w:spacing w:after="0"/>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4" w:lineRule="exact"/>
        <w:rPr>
          <w:sz w:val="20"/>
          <w:szCs w:val="20"/>
          <w:color w:val="auto"/>
        </w:rPr>
      </w:pPr>
    </w:p>
    <w:p>
      <w:pPr>
        <w:ind w:left="1292"/>
        <w:spacing w:after="0" w:line="287"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80" w:lineRule="exact"/>
        <w:rPr>
          <w:sz w:val="20"/>
          <w:szCs w:val="20"/>
          <w:color w:val="auto"/>
        </w:rPr>
      </w:pPr>
    </w:p>
    <w:p>
      <w:pPr>
        <w:ind w:left="492"/>
        <w:spacing w:after="0"/>
        <w:tabs>
          <w:tab w:leader="none" w:pos="1252"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w:t>
      </w:r>
    </w:p>
    <w:p>
      <w:pPr>
        <w:spacing w:after="0" w:line="252" w:lineRule="exact"/>
        <w:rPr>
          <w:sz w:val="20"/>
          <w:szCs w:val="20"/>
          <w:color w:val="auto"/>
        </w:rPr>
      </w:pPr>
    </w:p>
    <w:p>
      <w:pPr>
        <w:ind w:left="492" w:right="100"/>
        <w:spacing w:after="0" w:line="256"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The Plan primarily applies the market approach for fair value measurements and endeavors to utilize the best available information. Accordingly, the Plan utilizes valuation techniques that maximize the use of observable inputs, such as quoted prices in active markets, and minimize the use of unobservable inputs. The Plan is able to classify fair value balances based on the observability of those inputs. Common stock is valued at the closing price reported on the active market on which the individual security is traded. Investments in mutual funds are primarily valued at net asset value in an exchange and active market, which represents the net asset values of shares held by the Plan at year-end.</w:t>
      </w:r>
    </w:p>
    <w:p>
      <w:pPr>
        <w:spacing w:after="0" w:line="210" w:lineRule="exact"/>
        <w:rPr>
          <w:sz w:val="20"/>
          <w:szCs w:val="20"/>
          <w:color w:val="auto"/>
        </w:rPr>
      </w:pPr>
    </w:p>
    <w:p>
      <w:pPr>
        <w:ind w:left="492"/>
        <w:spacing w:after="0" w:line="259" w:lineRule="auto"/>
        <w:rPr>
          <w:sz w:val="20"/>
          <w:szCs w:val="20"/>
          <w:color w:val="auto"/>
        </w:rPr>
      </w:pPr>
      <w:r>
        <w:rPr>
          <w:rFonts w:ascii="Arial" w:cs="Arial" w:eastAsia="Arial" w:hAnsi="Arial"/>
          <w:sz w:val="18"/>
          <w:szCs w:val="18"/>
          <w:color w:val="auto"/>
        </w:rPr>
        <w:t>The Plan recognizes the methods described above may produce a fair value calculation that may not be indicative of net realizable value or reflective of future fair values. While the Plan believes its valuation methods are appropriate and consistent with other market participants' expectations for the Plan's investments, the use of different methodologies or assumptions to determine the fair value of certain financial instruments could result in a different fair value measurement. There have been no significant changes in the valuation methodologies or transfers between levels during the years ended December 31, 2025 and 2024.</w:t>
      </w:r>
    </w:p>
    <w:p>
      <w:pPr>
        <w:spacing w:after="0" w:line="206" w:lineRule="exact"/>
        <w:rPr>
          <w:sz w:val="20"/>
          <w:szCs w:val="20"/>
          <w:color w:val="auto"/>
        </w:rPr>
      </w:pPr>
    </w:p>
    <w:p>
      <w:pPr>
        <w:ind w:left="492" w:right="260"/>
        <w:spacing w:after="0" w:line="287" w:lineRule="auto"/>
        <w:rPr>
          <w:sz w:val="20"/>
          <w:szCs w:val="20"/>
          <w:color w:val="auto"/>
        </w:rPr>
      </w:pPr>
      <w:r>
        <w:rPr>
          <w:rFonts w:ascii="Arial" w:cs="Arial" w:eastAsia="Arial" w:hAnsi="Arial"/>
          <w:sz w:val="18"/>
          <w:szCs w:val="18"/>
          <w:color w:val="auto"/>
        </w:rPr>
        <w:t>At December 31, 2025 and 2024, the Plan's investment that are not included in the Master Trust are mutual funds and are classified within Level 1 of the fair value hierarchy, due to the fact that the inputs to the</w:t>
      </w:r>
    </w:p>
    <w:p>
      <w:pPr>
        <w:spacing w:after="0" w:line="200" w:lineRule="exact"/>
        <w:rPr>
          <w:sz w:val="20"/>
          <w:szCs w:val="20"/>
          <w:color w:val="auto"/>
        </w:rPr>
      </w:pPr>
    </w:p>
    <w:p>
      <w:pPr>
        <w:spacing w:after="0" w:line="2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11" w:name="page12"/>
    <w:bookmarkEnd w:id="11"/>
    <w:p>
      <w:pPr>
        <w:ind w:left="492" w:right="280"/>
        <w:spacing w:after="0" w:line="287" w:lineRule="auto"/>
        <w:rPr>
          <w:sz w:val="20"/>
          <w:szCs w:val="20"/>
          <w:color w:val="auto"/>
        </w:rPr>
      </w:pPr>
      <w:r>
        <w:rPr>
          <w:rFonts w:ascii="Arial" w:cs="Arial" w:eastAsia="Arial" w:hAnsi="Arial"/>
          <w:sz w:val="18"/>
          <w:szCs w:val="18"/>
          <w:color w:val="auto"/>
        </w:rPr>
        <w:t>valuation methodology are unadjusted quoted prices for identical assets or liabilities in active markets that the Plan has the ability to access.</w:t>
      </w:r>
    </w:p>
    <w:p>
      <w:pPr>
        <w:spacing w:after="0" w:line="355" w:lineRule="exact"/>
        <w:rPr>
          <w:sz w:val="20"/>
          <w:szCs w:val="20"/>
          <w:color w:val="auto"/>
        </w:rPr>
      </w:pPr>
    </w:p>
    <w:p>
      <w:pPr>
        <w:ind w:left="352" w:hanging="352"/>
        <w:spacing w:after="0"/>
        <w:tabs>
          <w:tab w:leader="none" w:pos="3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and Party in Interest Transactions</w:t>
      </w:r>
    </w:p>
    <w:p>
      <w:pPr>
        <w:spacing w:after="0" w:line="252" w:lineRule="exact"/>
        <w:rPr>
          <w:sz w:val="20"/>
          <w:szCs w:val="20"/>
          <w:color w:val="auto"/>
        </w:rPr>
      </w:pPr>
    </w:p>
    <w:p>
      <w:pPr>
        <w:ind w:left="492" w:right="40"/>
        <w:spacing w:after="0" w:line="262" w:lineRule="auto"/>
        <w:rPr>
          <w:sz w:val="20"/>
          <w:szCs w:val="20"/>
          <w:color w:val="auto"/>
        </w:rPr>
      </w:pPr>
      <w:r>
        <w:rPr>
          <w:rFonts w:ascii="Arial" w:cs="Arial" w:eastAsia="Arial" w:hAnsi="Arial"/>
          <w:sz w:val="18"/>
          <w:szCs w:val="18"/>
          <w:color w:val="auto"/>
        </w:rPr>
        <w:t>The Plan's investments are shares of mutual funds managed by the Delaware Charter Guarantee &amp; Trust Company, d/b/a Principal Trust Company, whose fees are paid by the Plan. These transactions qualify as party in interest transactions. Fees paid by the Plan for the investment management services amounted to $160 thousand during the year ended December 31, 2025 and are included in Administrative expenses on the Statement of Changes in Net Assets Available for Benefits.</w:t>
      </w:r>
    </w:p>
    <w:p>
      <w:pPr>
        <w:spacing w:after="0" w:line="203" w:lineRule="exact"/>
        <w:rPr>
          <w:sz w:val="20"/>
          <w:szCs w:val="20"/>
          <w:color w:val="auto"/>
        </w:rPr>
      </w:pPr>
    </w:p>
    <w:p>
      <w:pPr>
        <w:ind w:left="492" w:right="640"/>
        <w:spacing w:after="0" w:line="268" w:lineRule="auto"/>
        <w:rPr>
          <w:sz w:val="20"/>
          <w:szCs w:val="20"/>
          <w:color w:val="auto"/>
        </w:rPr>
      </w:pPr>
      <w:r>
        <w:rPr>
          <w:rFonts w:ascii="Arial" w:cs="Arial" w:eastAsia="Arial" w:hAnsi="Arial"/>
          <w:sz w:val="18"/>
          <w:szCs w:val="18"/>
          <w:color w:val="auto"/>
        </w:rPr>
        <w:t>Transactions in the common stock held by the Master Trust also qualify as party in interest transactions. For the year ended December 31, 2025, the Plan purchased $133 thousand and sold $238 thousand of Legacy Enviri's common stock on behalf of participants.</w:t>
      </w:r>
    </w:p>
    <w:p>
      <w:pPr>
        <w:spacing w:after="0" w:line="198" w:lineRule="exact"/>
        <w:rPr>
          <w:sz w:val="20"/>
          <w:szCs w:val="20"/>
          <w:color w:val="auto"/>
        </w:rPr>
      </w:pPr>
    </w:p>
    <w:p>
      <w:pPr>
        <w:ind w:left="492" w:right="340"/>
        <w:spacing w:after="0" w:line="287" w:lineRule="auto"/>
        <w:rPr>
          <w:sz w:val="20"/>
          <w:szCs w:val="20"/>
          <w:color w:val="auto"/>
        </w:rPr>
      </w:pPr>
      <w:r>
        <w:rPr>
          <w:rFonts w:ascii="Arial" w:cs="Arial" w:eastAsia="Arial" w:hAnsi="Arial"/>
          <w:sz w:val="18"/>
          <w:szCs w:val="18"/>
          <w:color w:val="auto"/>
        </w:rPr>
        <w:t>Additionally, notes receivable from participants qualify as party in interest transactions. For the year ended December 31, 2025, the Plan received $170 thousand in interest income on notes receivable from participants.</w:t>
      </w:r>
    </w:p>
    <w:p>
      <w:pPr>
        <w:spacing w:after="0" w:line="200" w:lineRule="exact"/>
        <w:rPr>
          <w:sz w:val="20"/>
          <w:szCs w:val="20"/>
          <w:color w:val="auto"/>
        </w:rPr>
      </w:pPr>
    </w:p>
    <w:p>
      <w:pPr>
        <w:spacing w:after="0" w:line="223" w:lineRule="exact"/>
        <w:rPr>
          <w:sz w:val="20"/>
          <w:szCs w:val="20"/>
          <w:color w:val="auto"/>
        </w:rPr>
      </w:pPr>
    </w:p>
    <w:p>
      <w:pPr>
        <w:ind w:left="352" w:hanging="352"/>
        <w:spacing w:after="0"/>
        <w:tabs>
          <w:tab w:leader="none" w:pos="3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2" w:lineRule="exact"/>
        <w:rPr>
          <w:sz w:val="20"/>
          <w:szCs w:val="20"/>
          <w:color w:val="auto"/>
        </w:rPr>
      </w:pPr>
    </w:p>
    <w:p>
      <w:pPr>
        <w:ind w:left="492" w:right="220"/>
        <w:spacing w:after="0" w:line="262" w:lineRule="auto"/>
        <w:rPr>
          <w:sz w:val="20"/>
          <w:szCs w:val="20"/>
          <w:color w:val="auto"/>
        </w:rPr>
      </w:pPr>
      <w:r>
        <w:rPr>
          <w:rFonts w:ascii="Arial" w:cs="Arial" w:eastAsia="Arial" w:hAnsi="Arial"/>
          <w:sz w:val="18"/>
          <w:szCs w:val="18"/>
          <w:color w:val="auto"/>
        </w:rPr>
        <w:t>Although the Company has not expressed any intent to discontinue the Plan, it reserves the right to terminate the Plan at any time or discontinue contributions and loans thereunder, subject to the provisions of ERISA. In the event of Plan termination, the accounts of each affected employee would be fully vested. Complete distributions or withdrawals would be distributed to Plan participants and beneficiaries in proportion to their respective account balances.</w:t>
      </w:r>
    </w:p>
    <w:p>
      <w:pPr>
        <w:spacing w:after="0" w:line="200" w:lineRule="exact"/>
        <w:rPr>
          <w:sz w:val="20"/>
          <w:szCs w:val="20"/>
          <w:color w:val="auto"/>
        </w:rPr>
      </w:pPr>
    </w:p>
    <w:p>
      <w:pPr>
        <w:spacing w:after="0" w:line="246" w:lineRule="exact"/>
        <w:rPr>
          <w:sz w:val="20"/>
          <w:szCs w:val="20"/>
          <w:color w:val="auto"/>
        </w:rPr>
      </w:pPr>
    </w:p>
    <w:p>
      <w:pPr>
        <w:ind w:left="352" w:hanging="352"/>
        <w:spacing w:after="0"/>
        <w:tabs>
          <w:tab w:leader="none" w:pos="3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Tax Status</w:t>
      </w:r>
    </w:p>
    <w:p>
      <w:pPr>
        <w:spacing w:after="0" w:line="252" w:lineRule="exact"/>
        <w:rPr>
          <w:sz w:val="20"/>
          <w:szCs w:val="20"/>
          <w:color w:val="auto"/>
        </w:rPr>
      </w:pPr>
    </w:p>
    <w:p>
      <w:pPr>
        <w:ind w:left="492"/>
        <w:spacing w:after="0" w:line="255" w:lineRule="auto"/>
        <w:rPr>
          <w:sz w:val="20"/>
          <w:szCs w:val="20"/>
          <w:color w:val="auto"/>
        </w:rPr>
      </w:pPr>
      <w:r>
        <w:rPr>
          <w:rFonts w:ascii="Arial" w:cs="Arial" w:eastAsia="Arial" w:hAnsi="Arial"/>
          <w:sz w:val="18"/>
          <w:szCs w:val="18"/>
          <w:color w:val="auto"/>
        </w:rPr>
        <w:t>The IRS has determined and informed the Company by a letter dated July 23, 2018, that the Plan and related trust are designed in accordance with applicable sections of the IRC. Although the Plan has been amended since receiving the opinion letter, the Plan Administrator believes that the Plan is designed, and is currently being operated, in compliance with the applicable requirements of the IRC and therefore believes that the Plan is qualified, and the related trust is tax-exempt. U.S. GAAP requires Plan management to evaluate tax positions taken by the Plan and recognize a tax liability if the Plan has taken an uncertain position that more likely than not would not be sustained upon examination by the IRS. The Plan Administrator has analyzed the tax positions by the Plan and has concluded that, as of December 31, 2025, there are no uncertain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208" w:lineRule="exact"/>
        <w:rPr>
          <w:sz w:val="20"/>
          <w:szCs w:val="20"/>
          <w:color w:val="auto"/>
        </w:rPr>
      </w:pPr>
    </w:p>
    <w:p>
      <w:pPr>
        <w:ind w:left="352" w:hanging="352"/>
        <w:spacing w:after="0"/>
        <w:tabs>
          <w:tab w:leader="none" w:pos="3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52" w:lineRule="exact"/>
        <w:rPr>
          <w:sz w:val="20"/>
          <w:szCs w:val="20"/>
          <w:color w:val="auto"/>
        </w:rPr>
      </w:pPr>
    </w:p>
    <w:p>
      <w:pPr>
        <w:ind w:left="492" w:right="20"/>
        <w:spacing w:after="0" w:line="259"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Market risks include global events which could impact the value of investment securities.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0" w:right="339" w:bottom="1440" w:gutter="0" w:footer="0" w:header="0"/>
        </w:sectPr>
      </w:pPr>
    </w:p>
    <w:bookmarkStart w:id="12" w:name="page13"/>
    <w:bookmarkEnd w:id="12"/>
    <w:p>
      <w:pPr>
        <w:jc w:val="center"/>
        <w:ind w:right="-379"/>
        <w:spacing w:after="0"/>
        <w:rPr>
          <w:sz w:val="20"/>
          <w:szCs w:val="20"/>
          <w:color w:val="auto"/>
        </w:rPr>
      </w:pPr>
      <w:r>
        <w:rPr>
          <w:rFonts w:ascii="Arial" w:cs="Arial" w:eastAsia="Arial" w:hAnsi="Arial"/>
          <w:sz w:val="18"/>
          <w:szCs w:val="18"/>
          <w:b w:val="1"/>
          <w:bCs w:val="1"/>
          <w:color w:val="auto"/>
        </w:rPr>
        <w:t>SUPPLEMENTAL SCHEDULE</w:t>
      </w:r>
    </w:p>
    <w:p>
      <w:pPr>
        <w:jc w:val="center"/>
        <w:ind w:right="-359"/>
        <w:spacing w:after="0" w:line="219" w:lineRule="auto"/>
        <w:rPr>
          <w:sz w:val="20"/>
          <w:szCs w:val="20"/>
          <w:color w:val="auto"/>
        </w:rPr>
      </w:pPr>
      <w:r>
        <w:rPr>
          <w:rFonts w:ascii="Arial" w:cs="Arial" w:eastAsia="Arial" w:hAnsi="Arial"/>
          <w:sz w:val="18"/>
          <w:szCs w:val="18"/>
          <w:b w:val="1"/>
          <w:bCs w:val="1"/>
          <w:color w:val="auto"/>
        </w:rPr>
        <w:t>ENVIRI CORPORATION SAVINGS PLAN</w:t>
      </w:r>
    </w:p>
    <w:p>
      <w:pPr>
        <w:jc w:val="center"/>
        <w:ind w:right="-379"/>
        <w:spacing w:after="0" w:line="203" w:lineRule="auto"/>
        <w:rPr>
          <w:sz w:val="20"/>
          <w:szCs w:val="20"/>
          <w:color w:val="auto"/>
        </w:rPr>
      </w:pPr>
      <w:r>
        <w:rPr>
          <w:rFonts w:ascii="Arial" w:cs="Arial" w:eastAsia="Arial" w:hAnsi="Arial"/>
          <w:sz w:val="18"/>
          <w:szCs w:val="18"/>
          <w:b w:val="1"/>
          <w:bCs w:val="1"/>
          <w:color w:val="auto"/>
        </w:rPr>
        <w:t>SCHEDULE H, LINE 4(i) - FORM 5500</w:t>
      </w:r>
    </w:p>
    <w:p>
      <w:pPr>
        <w:jc w:val="center"/>
        <w:ind w:right="-379"/>
        <w:spacing w:after="0" w:line="204" w:lineRule="auto"/>
        <w:rPr>
          <w:sz w:val="20"/>
          <w:szCs w:val="20"/>
          <w:color w:val="auto"/>
        </w:rPr>
      </w:pPr>
      <w:r>
        <w:rPr>
          <w:rFonts w:ascii="Arial" w:cs="Arial" w:eastAsia="Arial" w:hAnsi="Arial"/>
          <w:sz w:val="18"/>
          <w:szCs w:val="18"/>
          <w:b w:val="1"/>
          <w:bCs w:val="1"/>
          <w:color w:val="auto"/>
        </w:rPr>
        <w:t>SCHEDULE OF ASSETS (HELD AT END OF YEAR)</w:t>
      </w:r>
    </w:p>
    <w:p>
      <w:pPr>
        <w:jc w:val="center"/>
        <w:ind w:right="-379"/>
        <w:spacing w:after="0" w:line="219" w:lineRule="auto"/>
        <w:rPr>
          <w:sz w:val="20"/>
          <w:szCs w:val="20"/>
          <w:color w:val="auto"/>
        </w:rPr>
      </w:pPr>
      <w:r>
        <w:rPr>
          <w:rFonts w:ascii="Arial" w:cs="Arial" w:eastAsia="Arial" w:hAnsi="Arial"/>
          <w:sz w:val="18"/>
          <w:szCs w:val="18"/>
          <w:b w:val="1"/>
          <w:bCs w:val="1"/>
          <w:color w:val="auto"/>
        </w:rPr>
        <w:t>EMPLOYER IDENTIFICATION NUMBER - 23-1483991</w:t>
      </w:r>
    </w:p>
    <w:p>
      <w:pPr>
        <w:jc w:val="center"/>
        <w:ind w:right="-379"/>
        <w:spacing w:after="0" w:line="203" w:lineRule="auto"/>
        <w:rPr>
          <w:sz w:val="20"/>
          <w:szCs w:val="20"/>
          <w:color w:val="auto"/>
        </w:rPr>
      </w:pPr>
      <w:r>
        <w:rPr>
          <w:rFonts w:ascii="Arial" w:cs="Arial" w:eastAsia="Arial" w:hAnsi="Arial"/>
          <w:sz w:val="18"/>
          <w:szCs w:val="18"/>
          <w:b w:val="1"/>
          <w:bCs w:val="1"/>
          <w:color w:val="auto"/>
        </w:rPr>
        <w:t>THREE-DIGIT PLAN NUMBER - 224</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 OF DECEMBER 31,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20" w:type="dxa"/>
            <w:vAlign w:val="bottom"/>
            <w:tcBorders>
              <w:top w:val="single" w:sz="8" w:color="auto"/>
            </w:tcBorders>
          </w:tcPr>
          <w:p>
            <w:pPr>
              <w:spacing w:after="0"/>
              <w:rPr>
                <w:sz w:val="12"/>
                <w:szCs w:val="12"/>
                <w:color w:val="auto"/>
              </w:rPr>
            </w:pPr>
          </w:p>
        </w:tc>
        <w:tc>
          <w:tcPr>
            <w:tcW w:w="58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jc w:val="center"/>
              <w:ind w:left="192"/>
              <w:spacing w:after="0" w:line="147" w:lineRule="exact"/>
              <w:rPr>
                <w:sz w:val="20"/>
                <w:szCs w:val="20"/>
                <w:color w:val="auto"/>
              </w:rPr>
            </w:pPr>
            <w:r>
              <w:rPr>
                <w:rFonts w:ascii="Arial" w:cs="Arial" w:eastAsia="Arial" w:hAnsi="Arial"/>
                <w:sz w:val="14"/>
                <w:szCs w:val="14"/>
                <w:color w:val="auto"/>
              </w:rPr>
              <w:t>(c) Description of</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120" w:type="dxa"/>
            <w:vAlign w:val="bottom"/>
          </w:tcPr>
          <w:p>
            <w:pPr>
              <w:jc w:val="center"/>
              <w:ind w:left="212"/>
              <w:spacing w:after="0" w:line="145" w:lineRule="exact"/>
              <w:rPr>
                <w:sz w:val="20"/>
                <w:szCs w:val="20"/>
                <w:color w:val="auto"/>
              </w:rPr>
            </w:pPr>
            <w:r>
              <w:rPr>
                <w:rFonts w:ascii="Arial" w:cs="Arial" w:eastAsia="Arial" w:hAnsi="Arial"/>
                <w:sz w:val="14"/>
                <w:szCs w:val="14"/>
                <w:color w:val="auto"/>
              </w:rPr>
              <w:t>investment, including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120" w:type="dxa"/>
            <w:vAlign w:val="bottom"/>
          </w:tcPr>
          <w:p>
            <w:pPr>
              <w:jc w:val="center"/>
              <w:ind w:left="192"/>
              <w:spacing w:after="0" w:line="139" w:lineRule="exact"/>
              <w:rPr>
                <w:sz w:val="20"/>
                <w:szCs w:val="20"/>
                <w:color w:val="auto"/>
              </w:rPr>
            </w:pPr>
            <w:r>
              <w:rPr>
                <w:rFonts w:ascii="Arial" w:cs="Arial" w:eastAsia="Arial" w:hAnsi="Arial"/>
                <w:sz w:val="14"/>
                <w:szCs w:val="14"/>
                <w:color w:val="auto"/>
              </w:rPr>
              <w:t>maturity date, rate of</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31"/>
              <w:spacing w:after="0"/>
              <w:rPr>
                <w:sz w:val="20"/>
                <w:szCs w:val="20"/>
                <w:color w:val="auto"/>
              </w:rPr>
            </w:pPr>
            <w:r>
              <w:rPr>
                <w:rFonts w:ascii="Arial" w:cs="Arial" w:eastAsia="Arial" w:hAnsi="Arial"/>
                <w:sz w:val="14"/>
                <w:szCs w:val="14"/>
                <w:color w:val="auto"/>
              </w:rPr>
              <w:t>(e) Current value</w:t>
            </w:r>
          </w:p>
        </w:tc>
        <w:tc>
          <w:tcPr>
            <w:tcW w:w="0" w:type="dxa"/>
            <w:vAlign w:val="bottom"/>
          </w:tcPr>
          <w:p>
            <w:pPr>
              <w:spacing w:after="0"/>
              <w:rPr>
                <w:sz w:val="1"/>
                <w:szCs w:val="1"/>
                <w:color w:val="auto"/>
              </w:rPr>
            </w:pPr>
          </w:p>
        </w:tc>
      </w:tr>
      <w:tr>
        <w:trPr>
          <w:trHeight w:val="148"/>
        </w:trPr>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(a)</w:t>
            </w:r>
          </w:p>
        </w:tc>
        <w:tc>
          <w:tcPr>
            <w:tcW w:w="5820" w:type="dxa"/>
            <w:vAlign w:val="bottom"/>
            <w:vMerge w:val="restart"/>
          </w:tcPr>
          <w:p>
            <w:pPr>
              <w:ind w:left="1440"/>
              <w:spacing w:after="0"/>
              <w:rPr>
                <w:sz w:val="20"/>
                <w:szCs w:val="20"/>
                <w:color w:val="auto"/>
              </w:rPr>
            </w:pPr>
            <w:r>
              <w:rPr>
                <w:rFonts w:ascii="Arial" w:cs="Arial" w:eastAsia="Arial" w:hAnsi="Arial"/>
                <w:sz w:val="14"/>
                <w:szCs w:val="14"/>
                <w:color w:val="auto"/>
              </w:rPr>
              <w:t>(b) Identity of issue, borrower, lessor or similar party</w:t>
            </w:r>
          </w:p>
        </w:tc>
        <w:tc>
          <w:tcPr>
            <w:tcW w:w="2120" w:type="dxa"/>
            <w:vAlign w:val="bottom"/>
          </w:tcPr>
          <w:p>
            <w:pPr>
              <w:jc w:val="center"/>
              <w:ind w:left="212"/>
              <w:spacing w:after="0" w:line="149" w:lineRule="exact"/>
              <w:rPr>
                <w:sz w:val="20"/>
                <w:szCs w:val="20"/>
                <w:color w:val="auto"/>
              </w:rPr>
            </w:pPr>
            <w:r>
              <w:rPr>
                <w:rFonts w:ascii="Arial" w:cs="Arial" w:eastAsia="Arial" w:hAnsi="Arial"/>
                <w:sz w:val="14"/>
                <w:szCs w:val="14"/>
                <w:color w:val="auto"/>
              </w:rPr>
              <w:t>interest, collateral and par</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(d) Cost</w:t>
            </w: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0" w:type="dxa"/>
            <w:vAlign w:val="bottom"/>
            <w:tcBorders>
              <w:bottom w:val="single" w:sz="8" w:color="auto"/>
            </w:tcBorders>
            <w:vMerge w:val="continue"/>
          </w:tcPr>
          <w:p>
            <w:pPr>
              <w:spacing w:after="0"/>
              <w:rPr>
                <w:sz w:val="16"/>
                <w:szCs w:val="16"/>
                <w:color w:val="auto"/>
              </w:rPr>
            </w:pPr>
          </w:p>
        </w:tc>
        <w:tc>
          <w:tcPr>
            <w:tcW w:w="582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tcPr>
          <w:p>
            <w:pPr>
              <w:jc w:val="center"/>
              <w:ind w:left="212"/>
              <w:spacing w:after="0"/>
              <w:rPr>
                <w:sz w:val="20"/>
                <w:szCs w:val="20"/>
                <w:color w:val="auto"/>
              </w:rPr>
            </w:pPr>
            <w:r>
              <w:rPr>
                <w:rFonts w:ascii="Arial" w:cs="Arial" w:eastAsia="Arial" w:hAnsi="Arial"/>
                <w:sz w:val="14"/>
                <w:szCs w:val="14"/>
                <w:color w:val="auto"/>
              </w:rPr>
              <w:t>or maturity value</w:t>
            </w: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23"/>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Investments in Master Trust</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Master trust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Allspring Government Money Market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BlackRock Total Return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Dodge &amp; Cox Stock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DWS RREEF Real Assets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EuroPacific Growth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JPMorgan Large Cap Growth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Loomis Sayles Global Bond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New York Life Investments Winslow Large Cap Growth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MFS Mid Cap Growth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Neuberger Berman Genesis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Principal Investors Fund Inc - Real Estate Securities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T Rowe Price Retirement 2005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2010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T Rowe Price Retirement 2015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2020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T Rowe Price Retirement 2025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2030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T Rowe Price Retirement 2035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11,116</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2040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T Rowe Price Retirement 2045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2050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T Rowe Price Retirement 2055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2060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T Rowe Price Retirement 2065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 Rowe Price Retirement 2070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Vanguard Extended Market Index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Vanguard Inflation-Protected Securities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Vanguard Institutional Index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Vanguard Mid-Cap Value Index Fund/Open-end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Vanguard Total Bond Market Index Fund</w:t>
            </w:r>
          </w:p>
        </w:tc>
        <w:tc>
          <w:tcPr>
            <w:tcW w:w="2120" w:type="dxa"/>
            <w:vAlign w:val="bottom"/>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Vanguard Total International Stock Index Fund</w:t>
            </w:r>
          </w:p>
        </w:tc>
        <w:tc>
          <w:tcPr>
            <w:tcW w:w="2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Mutual fund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820" w:type="dxa"/>
            <w:vAlign w:val="bottom"/>
          </w:tcPr>
          <w:p>
            <w:pPr>
              <w:ind w:left="380"/>
              <w:spacing w:after="0"/>
              <w:rPr>
                <w:sz w:val="20"/>
                <w:szCs w:val="20"/>
                <w:color w:val="auto"/>
              </w:rPr>
            </w:pPr>
            <w:r>
              <w:rPr>
                <w:rFonts w:ascii="Arial" w:cs="Arial" w:eastAsia="Arial" w:hAnsi="Arial"/>
                <w:sz w:val="18"/>
                <w:szCs w:val="18"/>
                <w:color w:val="auto"/>
              </w:rPr>
              <w:t>Total mutual funds</w:t>
            </w:r>
          </w:p>
        </w:tc>
        <w:tc>
          <w:tcPr>
            <w:tcW w:w="2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88,118</w:t>
            </w:r>
          </w:p>
        </w:tc>
        <w:tc>
          <w:tcPr>
            <w:tcW w:w="0" w:type="dxa"/>
            <w:vAlign w:val="bottom"/>
          </w:tcPr>
          <w:p>
            <w:pPr>
              <w:spacing w:after="0"/>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58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Notes receivable from participants - Interest at 4.25% to 9.50%, fully</w:t>
            </w:r>
          </w:p>
        </w:tc>
        <w:tc>
          <w:tcPr>
            <w:tcW w:w="21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Participant loans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43"/>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secured by vested benefits, due 2026 to 2040</w:t>
            </w:r>
          </w:p>
        </w:tc>
        <w:tc>
          <w:tcPr>
            <w:tcW w:w="2120" w:type="dxa"/>
            <w:vAlign w:val="bottom"/>
            <w:vMerge w:val="continue"/>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Party in interest.</w:t>
      </w:r>
    </w:p>
    <w:p>
      <w:pPr>
        <w:spacing w:after="0" w:line="27" w:lineRule="exact"/>
        <w:rPr>
          <w:sz w:val="20"/>
          <w:szCs w:val="20"/>
          <w:color w:val="auto"/>
        </w:rPr>
      </w:pPr>
    </w:p>
    <w:p>
      <w:pPr>
        <w:ind w:left="5160" w:right="3520" w:hanging="4864"/>
        <w:spacing w:after="0" w:line="908" w:lineRule="auto"/>
        <w:tabs>
          <w:tab w:leader="none" w:pos="4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information is not presented because investments are participant directed.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-311785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680" w:top="917" w:right="899" w:bottom="1440" w:gutter="0" w:footer="0" w:header="0"/>
        </w:sectPr>
      </w:pPr>
    </w:p>
    <w:bookmarkStart w:id="13" w:name="page14"/>
    <w:bookmarkEnd w:id="13"/>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Plan Administrative Committee has duly caused this annual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400" w:type="dxa"/>
        <w:tblCellMar>
          <w:top w:w="0" w:type="dxa"/>
          <w:left w:w="0" w:type="dxa"/>
          <w:bottom w:w="0" w:type="dxa"/>
          <w:right w:w="0" w:type="dxa"/>
        </w:tblCellMar>
      </w:tblPr>
      <w:tr>
        <w:trPr>
          <w:trHeight w:val="235"/>
        </w:trPr>
        <w:tc>
          <w:tcPr>
            <w:tcW w:w="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ENVIRI CORPORATION SAVINGS PLAN</w:t>
            </w:r>
          </w:p>
        </w:tc>
      </w:tr>
      <w:tr>
        <w:trPr>
          <w:trHeight w:val="912"/>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gridSpan w:val="2"/>
          </w:tcPr>
          <w:p>
            <w:pPr>
              <w:ind w:left="760"/>
              <w:spacing w:after="0"/>
              <w:rPr>
                <w:sz w:val="20"/>
                <w:szCs w:val="20"/>
                <w:color w:val="auto"/>
              </w:rPr>
            </w:pPr>
            <w:r>
              <w:rPr>
                <w:rFonts w:ascii="Arial" w:cs="Arial" w:eastAsia="Arial" w:hAnsi="Arial"/>
                <w:sz w:val="18"/>
                <w:szCs w:val="18"/>
                <w:color w:val="auto"/>
              </w:rPr>
              <w:t>June 18, 2026</w:t>
            </w:r>
          </w:p>
        </w:tc>
        <w:tc>
          <w:tcPr>
            <w:tcW w:w="5780" w:type="dxa"/>
            <w:vAlign w:val="bottom"/>
          </w:tcPr>
          <w:p>
            <w:pPr>
              <w:jc w:val="center"/>
              <w:spacing w:after="0"/>
              <w:rPr>
                <w:sz w:val="20"/>
                <w:szCs w:val="20"/>
                <w:color w:val="auto"/>
              </w:rPr>
            </w:pPr>
            <w:r>
              <w:rPr>
                <w:rFonts w:ascii="Arial" w:cs="Arial" w:eastAsia="Arial" w:hAnsi="Arial"/>
                <w:sz w:val="18"/>
                <w:szCs w:val="18"/>
                <w:color w:val="auto"/>
              </w:rPr>
              <w:t>/s/ Samuel C. Fenice</w:t>
            </w:r>
          </w:p>
        </w:tc>
      </w:tr>
      <w:tr>
        <w:trPr>
          <w:trHeight w:val="218"/>
        </w:trPr>
        <w:tc>
          <w:tcPr>
            <w:tcW w:w="80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5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Samuel C. Fenice</w:t>
            </w:r>
          </w:p>
        </w:tc>
      </w:tr>
      <w:tr>
        <w:trPr>
          <w:trHeight w:val="239"/>
        </w:trPr>
        <w:tc>
          <w:tcPr>
            <w:tcW w:w="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80" w:type="dxa"/>
            <w:vAlign w:val="bottom"/>
          </w:tcPr>
          <w:p>
            <w:pPr>
              <w:jc w:val="center"/>
              <w:spacing w:after="0"/>
              <w:rPr>
                <w:sz w:val="20"/>
                <w:szCs w:val="20"/>
                <w:color w:val="auto"/>
              </w:rPr>
            </w:pPr>
            <w:r>
              <w:rPr>
                <w:rFonts w:ascii="Arial" w:cs="Arial" w:eastAsia="Arial" w:hAnsi="Arial"/>
                <w:sz w:val="18"/>
                <w:szCs w:val="18"/>
                <w:color w:val="auto"/>
              </w:rPr>
              <w:t>Vice President and 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90" w:right="6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131" w:lineRule="exact"/>
        <w:rPr>
          <w:sz w:val="20"/>
          <w:szCs w:val="20"/>
          <w:color w:val="auto"/>
        </w:rPr>
      </w:pPr>
    </w:p>
    <w:p>
      <w:pPr>
        <w:ind w:left="1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Caron &amp; Bletzer, PLLC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59"/>
          </w:cols>
          <w:pgMar w:left="1400" w:top="1133"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consent to the incorporation by reference in the Registration Statement (No. 333-296817) on Form S-8 of the Enviri Corporation Savings Plan of our report dated June 18, 2026 with respect to the statements of net assets available for benefits of the Enviri Corporation Savings Plan as of December 31, 2025 and 2024 and the related statement of changes in net assets available for benefits for the year ended December 31, 2025, and the related supplemental schedule as of December 31, 2025, which report appears in the December 31, 2025 annual report on Form 11-K of the Enviri Corporation Savings Plan.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/s/ Caron &amp; Bletzer, PLLC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Kingston, NH</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June 18,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Roman"/>
      <w:start w:val="3"/>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2026-06-18T12:21:07Z</dcterms:created>
  <dcterms:modified xsi:type="dcterms:W3CDTF">2026-06-18T12:21:07Z</dcterms:modified>
</cp:coreProperties>
</file>